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67B7A" w14:textId="65B1D94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w:t>
      </w:r>
      <w:r w:rsidR="00EE0885">
        <w:rPr>
          <w:rFonts w:ascii="Arial" w:eastAsia="宋体" w:hAnsi="Arial" w:cs="Times New Roman"/>
          <w:b/>
          <w:sz w:val="24"/>
          <w:szCs w:val="20"/>
          <w:lang w:val="en-GB"/>
        </w:rPr>
        <w:t>8</w:t>
      </w:r>
      <w:r w:rsidR="002D6DC8">
        <w:rPr>
          <w:rFonts w:ascii="Arial" w:eastAsia="宋体" w:hAnsi="Arial" w:cs="Times New Roman"/>
          <w:b/>
          <w:sz w:val="24"/>
          <w:szCs w:val="20"/>
          <w:lang w:val="en-GB"/>
        </w:rPr>
        <w:t>9</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683220">
        <w:rPr>
          <w:rFonts w:ascii="Arial" w:eastAsia="宋体" w:hAnsi="Arial" w:cs="Times New Roman"/>
          <w:b/>
          <w:bCs/>
          <w:sz w:val="24"/>
          <w:szCs w:val="20"/>
          <w:lang w:val="en-GB" w:eastAsia="zh-CN"/>
        </w:rPr>
        <w:t>1</w:t>
      </w:r>
      <w:r w:rsidR="00235F5C">
        <w:rPr>
          <w:rFonts w:ascii="Arial" w:eastAsia="宋体" w:hAnsi="Arial" w:cs="Times New Roman"/>
          <w:b/>
          <w:bCs/>
          <w:sz w:val="24"/>
          <w:szCs w:val="20"/>
          <w:lang w:val="en-GB" w:eastAsia="zh-CN"/>
        </w:rPr>
        <w:t>8</w:t>
      </w:r>
      <w:r w:rsidR="002209EC">
        <w:rPr>
          <w:rFonts w:ascii="Arial" w:eastAsia="宋体" w:hAnsi="Arial" w:cs="Times New Roman"/>
          <w:b/>
          <w:bCs/>
          <w:sz w:val="24"/>
          <w:szCs w:val="20"/>
          <w:lang w:val="en-GB" w:eastAsia="zh-CN"/>
        </w:rPr>
        <w:t>15854</w:t>
      </w:r>
    </w:p>
    <w:p w14:paraId="42ABC578" w14:textId="6ED3AD3F" w:rsidR="00841BCD" w:rsidRPr="00841BCD" w:rsidRDefault="002D6DC8"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Spokane</w:t>
      </w:r>
      <w:r w:rsidR="00783AE9">
        <w:rPr>
          <w:rFonts w:ascii="Arial" w:eastAsia="宋体" w:hAnsi="Arial" w:cs="Times New Roman"/>
          <w:b/>
          <w:sz w:val="24"/>
          <w:szCs w:val="20"/>
          <w:lang w:val="en-GB"/>
        </w:rPr>
        <w:t xml:space="preserve">, </w:t>
      </w:r>
      <w:r>
        <w:rPr>
          <w:rFonts w:ascii="Arial" w:eastAsia="宋体" w:hAnsi="Arial" w:cs="Times New Roman"/>
          <w:b/>
          <w:sz w:val="24"/>
          <w:szCs w:val="20"/>
          <w:lang w:val="en-GB"/>
        </w:rPr>
        <w:t>US</w:t>
      </w:r>
      <w:r w:rsidR="006F7ABC">
        <w:rPr>
          <w:rFonts w:ascii="Arial" w:eastAsia="宋体" w:hAnsi="Arial" w:cs="Times New Roman"/>
          <w:b/>
          <w:sz w:val="24"/>
          <w:szCs w:val="20"/>
          <w:lang w:val="en-GB"/>
        </w:rPr>
        <w:t>A</w:t>
      </w:r>
      <w:r w:rsidR="00783AE9">
        <w:rPr>
          <w:rFonts w:ascii="Arial" w:eastAsia="宋体" w:hAnsi="Arial" w:cs="Times New Roman"/>
          <w:b/>
          <w:sz w:val="24"/>
          <w:szCs w:val="20"/>
          <w:lang w:val="en-GB"/>
        </w:rPr>
        <w:t xml:space="preserve">, </w:t>
      </w:r>
      <w:r>
        <w:rPr>
          <w:rFonts w:ascii="Arial" w:eastAsia="宋体" w:hAnsi="Arial" w:cs="Times New Roman"/>
          <w:b/>
          <w:sz w:val="24"/>
          <w:szCs w:val="20"/>
          <w:lang w:val="en-GB"/>
        </w:rPr>
        <w:t>12</w:t>
      </w:r>
      <w:r w:rsidR="00783AE9">
        <w:rPr>
          <w:rFonts w:ascii="Arial" w:eastAsia="宋体" w:hAnsi="Arial" w:cs="Times New Roman"/>
          <w:b/>
          <w:sz w:val="24"/>
          <w:szCs w:val="20"/>
          <w:lang w:val="en-GB"/>
        </w:rPr>
        <w:t xml:space="preserve"> – 1</w:t>
      </w:r>
      <w:r>
        <w:rPr>
          <w:rFonts w:ascii="Arial" w:eastAsia="宋体" w:hAnsi="Arial" w:cs="Times New Roman"/>
          <w:b/>
          <w:sz w:val="24"/>
          <w:szCs w:val="20"/>
          <w:lang w:val="en-GB"/>
        </w:rPr>
        <w:t>6</w:t>
      </w:r>
      <w:r w:rsidR="00783AE9">
        <w:rPr>
          <w:rFonts w:ascii="Arial" w:eastAsia="宋体" w:hAnsi="Arial" w:cs="Times New Roman"/>
          <w:b/>
          <w:sz w:val="24"/>
          <w:szCs w:val="20"/>
          <w:lang w:val="en-GB"/>
        </w:rPr>
        <w:t xml:space="preserve"> </w:t>
      </w:r>
      <w:r>
        <w:rPr>
          <w:rFonts w:ascii="Arial" w:eastAsia="宋体" w:hAnsi="Arial" w:cs="Times New Roman"/>
          <w:b/>
          <w:sz w:val="24"/>
          <w:szCs w:val="20"/>
          <w:lang w:val="en-GB"/>
        </w:rPr>
        <w:t>Nov</w:t>
      </w:r>
      <w:r w:rsidR="00783AE9">
        <w:rPr>
          <w:rFonts w:ascii="Arial" w:eastAsia="宋体" w:hAnsi="Arial" w:cs="Times New Roman"/>
          <w:b/>
          <w:sz w:val="24"/>
          <w:szCs w:val="20"/>
          <w:lang w:val="en-GB"/>
        </w:rPr>
        <w:t xml:space="preserve"> 2018</w:t>
      </w:r>
    </w:p>
    <w:bookmarkEnd w:id="0"/>
    <w:bookmarkEnd w:id="1"/>
    <w:p w14:paraId="52C377BE"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2FD58420"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D3A79C5" w14:textId="5ED0D29F"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F30C6">
        <w:rPr>
          <w:rFonts w:ascii="Arial" w:eastAsia="Calibri" w:hAnsi="Arial" w:cs="Arial"/>
          <w:b/>
          <w:bCs/>
          <w:sz w:val="24"/>
          <w:lang w:val="en-GB"/>
        </w:rPr>
        <w:t xml:space="preserve">Discussion on </w:t>
      </w:r>
      <w:r w:rsidR="004D05F9">
        <w:rPr>
          <w:rFonts w:ascii="Arial" w:eastAsia="Calibri" w:hAnsi="Arial" w:cs="Arial"/>
          <w:b/>
          <w:bCs/>
          <w:sz w:val="24"/>
          <w:lang w:val="en-GB"/>
        </w:rPr>
        <w:t>NR PSCell addition delay</w:t>
      </w:r>
      <w:r w:rsidR="003A20CC">
        <w:rPr>
          <w:rFonts w:ascii="Arial" w:eastAsia="Calibri" w:hAnsi="Arial" w:cs="Arial"/>
          <w:b/>
          <w:bCs/>
          <w:sz w:val="24"/>
          <w:lang w:val="en-GB"/>
        </w:rPr>
        <w:t xml:space="preserve"> in FR2</w:t>
      </w:r>
    </w:p>
    <w:p w14:paraId="375E529C" w14:textId="5C7D7F8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E0885">
        <w:rPr>
          <w:rFonts w:ascii="Arial" w:eastAsia="MS Mincho" w:hAnsi="Arial" w:cs="Arial"/>
          <w:b/>
          <w:bCs/>
          <w:sz w:val="24"/>
          <w:szCs w:val="20"/>
          <w:lang w:val="en-GB"/>
        </w:rPr>
        <w:t>7.11</w:t>
      </w:r>
      <w:r w:rsidR="004C5EBE">
        <w:rPr>
          <w:rFonts w:ascii="Arial" w:eastAsia="MS Mincho" w:hAnsi="Arial" w:cs="Arial"/>
          <w:b/>
          <w:bCs/>
          <w:sz w:val="24"/>
          <w:szCs w:val="20"/>
          <w:lang w:val="en-GB"/>
        </w:rPr>
        <w:t>.</w:t>
      </w:r>
      <w:r w:rsidR="00783AE9">
        <w:rPr>
          <w:rFonts w:ascii="Arial" w:eastAsia="MS Mincho" w:hAnsi="Arial" w:cs="Arial"/>
          <w:b/>
          <w:bCs/>
          <w:sz w:val="24"/>
          <w:szCs w:val="20"/>
          <w:lang w:val="en-GB"/>
        </w:rPr>
        <w:t>7</w:t>
      </w:r>
      <w:r w:rsidR="004C5EBE">
        <w:rPr>
          <w:rFonts w:ascii="Arial" w:eastAsia="MS Mincho" w:hAnsi="Arial" w:cs="Arial"/>
          <w:b/>
          <w:bCs/>
          <w:sz w:val="24"/>
          <w:szCs w:val="20"/>
          <w:lang w:val="en-GB"/>
        </w:rPr>
        <w:t>.</w:t>
      </w:r>
      <w:r w:rsidR="006C3D50">
        <w:rPr>
          <w:rFonts w:ascii="Arial" w:eastAsia="MS Mincho" w:hAnsi="Arial" w:cs="Arial"/>
          <w:b/>
          <w:bCs/>
          <w:sz w:val="24"/>
          <w:szCs w:val="20"/>
          <w:lang w:val="en-GB"/>
        </w:rPr>
        <w:t>4</w:t>
      </w:r>
    </w:p>
    <w:p w14:paraId="3893EE8F"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00673">
        <w:rPr>
          <w:rFonts w:ascii="Arial" w:eastAsia="Calibri" w:hAnsi="Arial" w:cs="Arial"/>
          <w:b/>
          <w:bCs/>
          <w:sz w:val="24"/>
          <w:lang w:val="en-GB"/>
        </w:rPr>
        <w:t>Discussion</w:t>
      </w:r>
    </w:p>
    <w:p w14:paraId="1E33AD28" w14:textId="77777777" w:rsidR="00841BCD" w:rsidRPr="00841BCD" w:rsidRDefault="00841BCD" w:rsidP="00A37002">
      <w:pPr>
        <w:pStyle w:val="RAN4H1"/>
      </w:pPr>
      <w:r w:rsidRPr="00AE56B1">
        <w:t>Intro</w:t>
      </w:r>
      <w:r w:rsidRPr="00AE56B1">
        <w:rPr>
          <w:rStyle w:val="RAN4H1Char"/>
        </w:rPr>
        <w:t>ductio</w:t>
      </w:r>
      <w:r w:rsidRPr="00AE56B1">
        <w:t>n</w:t>
      </w:r>
    </w:p>
    <w:p w14:paraId="2A38DEC0" w14:textId="5F790DD2" w:rsidR="00586C4E" w:rsidRDefault="00464417" w:rsidP="00841BCD">
      <w:pPr>
        <w:ind w:right="-22"/>
        <w:rPr>
          <w:rFonts w:eastAsia="Calibri" w:cs="Times New Roman"/>
          <w:szCs w:val="20"/>
          <w:lang w:val="en-GB"/>
        </w:rPr>
      </w:pPr>
      <w:r>
        <w:rPr>
          <w:rFonts w:eastAsia="Calibri" w:cs="Times New Roman"/>
          <w:szCs w:val="20"/>
          <w:lang w:val="en-GB"/>
        </w:rPr>
        <w:t>T</w:t>
      </w:r>
      <w:r w:rsidR="00FC2C91" w:rsidRPr="00FC2C91">
        <w:rPr>
          <w:rFonts w:eastAsia="Calibri" w:cs="Times New Roman"/>
          <w:szCs w:val="20"/>
          <w:lang w:val="en-GB"/>
        </w:rPr>
        <w:t xml:space="preserve">he </w:t>
      </w:r>
      <w:r w:rsidR="006C33D1">
        <w:rPr>
          <w:rFonts w:eastAsia="Calibri" w:cs="Times New Roman"/>
          <w:szCs w:val="20"/>
          <w:lang w:val="en-GB"/>
        </w:rPr>
        <w:t xml:space="preserve">NR </w:t>
      </w:r>
      <w:r w:rsidR="00047E06">
        <w:rPr>
          <w:rFonts w:eastAsia="Calibri" w:cs="Times New Roman"/>
          <w:szCs w:val="20"/>
          <w:lang w:val="en-GB"/>
        </w:rPr>
        <w:t>P</w:t>
      </w:r>
      <w:r w:rsidR="006C33D1">
        <w:rPr>
          <w:rFonts w:eastAsia="Calibri" w:cs="Times New Roman"/>
          <w:szCs w:val="20"/>
          <w:lang w:val="en-GB"/>
        </w:rPr>
        <w:t xml:space="preserve">SCell </w:t>
      </w:r>
      <w:r w:rsidR="00047E06">
        <w:rPr>
          <w:rFonts w:eastAsia="Calibri" w:cs="Times New Roman"/>
          <w:szCs w:val="20"/>
          <w:lang w:val="en-GB"/>
        </w:rPr>
        <w:t>addition</w:t>
      </w:r>
      <w:r w:rsidR="006C33D1">
        <w:rPr>
          <w:rFonts w:eastAsia="Calibri" w:cs="Times New Roman"/>
          <w:szCs w:val="20"/>
          <w:lang w:val="en-GB"/>
        </w:rPr>
        <w:t xml:space="preserve"> delay</w:t>
      </w:r>
      <w:r>
        <w:rPr>
          <w:rFonts w:eastAsia="Calibri" w:cs="Times New Roman"/>
          <w:szCs w:val="20"/>
          <w:lang w:val="en-GB"/>
        </w:rPr>
        <w:t xml:space="preserve"> has been discussed in the past several RAN4 meetings</w:t>
      </w:r>
      <w:r w:rsidR="00FC2C91" w:rsidRPr="00FC2C91">
        <w:rPr>
          <w:rFonts w:eastAsia="Calibri" w:cs="Times New Roman"/>
          <w:szCs w:val="20"/>
          <w:lang w:val="en-GB"/>
        </w:rPr>
        <w:t>. In RAN4 #</w:t>
      </w:r>
      <w:r w:rsidR="003578B0">
        <w:rPr>
          <w:rFonts w:eastAsia="Calibri" w:cs="Times New Roman"/>
          <w:szCs w:val="20"/>
          <w:lang w:val="en-GB"/>
        </w:rPr>
        <w:t>88</w:t>
      </w:r>
      <w:r w:rsidR="00FC2C91" w:rsidRPr="00FC2C91">
        <w:rPr>
          <w:rFonts w:eastAsia="Calibri" w:cs="Times New Roman"/>
          <w:szCs w:val="20"/>
          <w:lang w:val="en-GB"/>
        </w:rPr>
        <w:t xml:space="preserve"> meeting, </w:t>
      </w:r>
      <w:r w:rsidR="00145B9E" w:rsidRPr="00FC2C91">
        <w:rPr>
          <w:rFonts w:eastAsia="Calibri" w:cs="Times New Roman"/>
          <w:szCs w:val="20"/>
          <w:lang w:val="en-GB"/>
        </w:rPr>
        <w:t xml:space="preserve">Requirement on NR </w:t>
      </w:r>
      <w:r w:rsidR="00047E06">
        <w:rPr>
          <w:rFonts w:eastAsia="Calibri" w:cs="Times New Roman"/>
          <w:szCs w:val="20"/>
          <w:lang w:val="en-GB"/>
        </w:rPr>
        <w:t>PSCell addition</w:t>
      </w:r>
      <w:r>
        <w:rPr>
          <w:rFonts w:eastAsia="Calibri" w:cs="Times New Roman"/>
          <w:szCs w:val="20"/>
          <w:lang w:val="en-GB"/>
        </w:rPr>
        <w:t xml:space="preserve"> delay </w:t>
      </w:r>
      <w:r w:rsidR="00145B9E">
        <w:rPr>
          <w:rFonts w:eastAsia="Calibri" w:cs="Times New Roman"/>
          <w:szCs w:val="20"/>
          <w:lang w:val="en-GB"/>
        </w:rPr>
        <w:t xml:space="preserve">was agreed in </w:t>
      </w:r>
      <w:r w:rsidR="00FC2C91" w:rsidRPr="00FC2C91">
        <w:rPr>
          <w:rFonts w:eastAsia="Calibri" w:cs="Times New Roman"/>
          <w:szCs w:val="20"/>
          <w:lang w:val="en-GB"/>
        </w:rPr>
        <w:t xml:space="preserve">[1]. </w:t>
      </w:r>
      <w:r w:rsidR="005557B7">
        <w:rPr>
          <w:rFonts w:eastAsia="Calibri" w:cs="Times New Roman"/>
          <w:szCs w:val="20"/>
          <w:lang w:val="en-GB"/>
        </w:rPr>
        <w:t>For the</w:t>
      </w:r>
      <w:r w:rsidR="00477039">
        <w:rPr>
          <w:rFonts w:eastAsia="Calibri" w:cs="Times New Roman"/>
          <w:szCs w:val="20"/>
          <w:lang w:val="en-GB"/>
        </w:rPr>
        <w:t xml:space="preserve"> known cell condition in FR2 and</w:t>
      </w:r>
      <w:r w:rsidR="005557B7">
        <w:rPr>
          <w:rFonts w:eastAsia="Calibri" w:cs="Times New Roman"/>
          <w:szCs w:val="20"/>
          <w:lang w:val="en-GB"/>
        </w:rPr>
        <w:t xml:space="preserve"> </w:t>
      </w:r>
      <w:r w:rsidR="0038530B">
        <w:rPr>
          <w:rFonts w:eastAsia="Calibri" w:cs="Times New Roman"/>
          <w:szCs w:val="20"/>
          <w:lang w:val="en-GB"/>
        </w:rPr>
        <w:t>T</w:t>
      </w:r>
      <w:r w:rsidR="0038530B" w:rsidRPr="0038530B">
        <w:rPr>
          <w:rFonts w:eastAsia="Calibri" w:cs="Times New Roman"/>
          <w:szCs w:val="20"/>
          <w:vertAlign w:val="subscript"/>
          <w:lang w:val="en-GB"/>
        </w:rPr>
        <w:t>search</w:t>
      </w:r>
      <w:r w:rsidR="0038530B">
        <w:rPr>
          <w:rFonts w:eastAsia="Calibri" w:cs="Times New Roman"/>
          <w:szCs w:val="20"/>
          <w:lang w:val="en-GB"/>
        </w:rPr>
        <w:t xml:space="preserve"> </w:t>
      </w:r>
      <w:r w:rsidR="005557B7">
        <w:rPr>
          <w:rFonts w:eastAsia="Calibri" w:cs="Times New Roman"/>
          <w:szCs w:val="20"/>
          <w:lang w:val="en-GB"/>
        </w:rPr>
        <w:t>requirement in FR2, it still need</w:t>
      </w:r>
      <w:r w:rsidR="0038530B">
        <w:rPr>
          <w:rFonts w:eastAsia="Calibri" w:cs="Times New Roman"/>
          <w:szCs w:val="20"/>
          <w:lang w:val="en-GB"/>
        </w:rPr>
        <w:t>s</w:t>
      </w:r>
      <w:r w:rsidR="005557B7">
        <w:rPr>
          <w:rFonts w:eastAsia="Calibri" w:cs="Times New Roman"/>
          <w:szCs w:val="20"/>
          <w:lang w:val="en-GB"/>
        </w:rPr>
        <w:t xml:space="preserve"> more discussion</w:t>
      </w:r>
      <w:r w:rsidR="00502FF9">
        <w:rPr>
          <w:rFonts w:eastAsia="Calibri" w:cs="Times New Roman"/>
          <w:szCs w:val="20"/>
          <w:lang w:val="en-GB"/>
        </w:rPr>
        <w:t>.</w:t>
      </w:r>
      <w:r w:rsidR="00502FF9" w:rsidRPr="00502FF9">
        <w:t xml:space="preserve"> </w:t>
      </w:r>
      <w:r w:rsidR="00502FF9" w:rsidRPr="00502FF9">
        <w:rPr>
          <w:rFonts w:eastAsia="Calibri" w:cs="Times New Roman"/>
          <w:szCs w:val="20"/>
          <w:lang w:val="en-GB"/>
        </w:rPr>
        <w:t>In this contribution, we will provide our view on th</w:t>
      </w:r>
      <w:r>
        <w:rPr>
          <w:rFonts w:eastAsia="Calibri" w:cs="Times New Roman"/>
          <w:szCs w:val="20"/>
          <w:lang w:val="en-GB"/>
        </w:rPr>
        <w:t>is</w:t>
      </w:r>
      <w:r w:rsidR="00502FF9" w:rsidRPr="00502FF9">
        <w:rPr>
          <w:rFonts w:eastAsia="Calibri" w:cs="Times New Roman"/>
          <w:szCs w:val="20"/>
          <w:lang w:val="en-GB"/>
        </w:rPr>
        <w:t xml:space="preserve"> </w:t>
      </w:r>
      <w:r w:rsidR="0098491D">
        <w:rPr>
          <w:rFonts w:eastAsia="Calibri" w:cs="Times New Roman"/>
          <w:szCs w:val="20"/>
          <w:lang w:val="en-GB"/>
        </w:rPr>
        <w:t xml:space="preserve">delay </w:t>
      </w:r>
      <w:r w:rsidR="00502FF9" w:rsidRPr="00502FF9">
        <w:rPr>
          <w:rFonts w:eastAsia="Calibri" w:cs="Times New Roman"/>
          <w:szCs w:val="20"/>
          <w:lang w:val="en-GB"/>
        </w:rPr>
        <w:t>requirement.</w:t>
      </w:r>
    </w:p>
    <w:p w14:paraId="62C63388" w14:textId="77777777" w:rsidR="003B659E" w:rsidRPr="00841BCD" w:rsidRDefault="003B659E" w:rsidP="00AE56B1">
      <w:pPr>
        <w:pStyle w:val="RAN4H1"/>
      </w:pPr>
      <w:r w:rsidRPr="00AE56B1">
        <w:t>Discussion</w:t>
      </w:r>
    </w:p>
    <w:p w14:paraId="16DDA460" w14:textId="77777777" w:rsidR="00F84F26" w:rsidRDefault="00F84F26" w:rsidP="005D27B7">
      <w:pPr>
        <w:pStyle w:val="RAN4H2"/>
        <w:ind w:left="431" w:hanging="431"/>
      </w:pPr>
      <w:bookmarkStart w:id="3" w:name="_Hlk517439673"/>
      <w:r>
        <w:t>PSCell known condition</w:t>
      </w:r>
    </w:p>
    <w:p w14:paraId="4FF7B9C9" w14:textId="2BA602F4" w:rsidR="00F84F26" w:rsidRDefault="00F84F26" w:rsidP="00F84F26">
      <w:pPr>
        <w:ind w:right="-22"/>
        <w:rPr>
          <w:rFonts w:eastAsia="Calibri" w:cs="Times New Roman"/>
          <w:szCs w:val="20"/>
          <w:lang w:val="en-GB"/>
        </w:rPr>
      </w:pPr>
      <w:r w:rsidRPr="00422828">
        <w:rPr>
          <w:rFonts w:eastAsia="Calibri" w:cs="Times New Roman"/>
          <w:szCs w:val="20"/>
          <w:lang w:val="en-GB"/>
        </w:rPr>
        <w:t xml:space="preserve">In </w:t>
      </w:r>
      <w:r>
        <w:rPr>
          <w:rFonts w:eastAsia="Calibri" w:cs="Times New Roman"/>
          <w:szCs w:val="20"/>
          <w:lang w:val="en-GB"/>
        </w:rPr>
        <w:t>[</w:t>
      </w:r>
      <w:r w:rsidR="00235EC5">
        <w:rPr>
          <w:rFonts w:eastAsia="Calibri" w:cs="Times New Roman"/>
          <w:szCs w:val="20"/>
          <w:lang w:val="en-GB"/>
        </w:rPr>
        <w:t>1</w:t>
      </w:r>
      <w:r>
        <w:rPr>
          <w:rFonts w:eastAsia="Calibri" w:cs="Times New Roman"/>
          <w:szCs w:val="20"/>
          <w:lang w:val="en-GB"/>
        </w:rPr>
        <w:t>]</w:t>
      </w:r>
      <w:r w:rsidRPr="00422828">
        <w:rPr>
          <w:rFonts w:eastAsia="Calibri" w:cs="Times New Roman"/>
          <w:szCs w:val="20"/>
          <w:lang w:val="en-GB"/>
        </w:rPr>
        <w:t xml:space="preserve">, RAN4 has </w:t>
      </w:r>
      <w:r>
        <w:rPr>
          <w:rFonts w:eastAsia="Calibri" w:cs="Times New Roman"/>
          <w:szCs w:val="20"/>
          <w:lang w:val="en-GB"/>
        </w:rPr>
        <w:t xml:space="preserve">agreed the requirement on NR PSCell known condition as below: </w:t>
      </w:r>
    </w:p>
    <w:tbl>
      <w:tblPr>
        <w:tblStyle w:val="TableGrid"/>
        <w:tblW w:w="0" w:type="auto"/>
        <w:tblLook w:val="04A0" w:firstRow="1" w:lastRow="0" w:firstColumn="1" w:lastColumn="0" w:noHBand="0" w:noVBand="1"/>
      </w:tblPr>
      <w:tblGrid>
        <w:gridCol w:w="9617"/>
      </w:tblGrid>
      <w:tr w:rsidR="00F84F26" w14:paraId="5B10EA51" w14:textId="77777777" w:rsidTr="0018745C">
        <w:tc>
          <w:tcPr>
            <w:tcW w:w="9617" w:type="dxa"/>
          </w:tcPr>
          <w:p w14:paraId="4285058A" w14:textId="77777777" w:rsidR="00F84F26" w:rsidRPr="007B1FF8" w:rsidRDefault="00F84F26" w:rsidP="00F84F26">
            <w:pPr>
              <w:overflowPunct w:val="0"/>
              <w:autoSpaceDE w:val="0"/>
              <w:autoSpaceDN w:val="0"/>
              <w:adjustRightInd w:val="0"/>
              <w:spacing w:after="180"/>
              <w:textAlignment w:val="baseline"/>
              <w:rPr>
                <w:rFonts w:eastAsia="Times New Roman" w:cs="Times New Roman"/>
                <w:szCs w:val="20"/>
                <w:lang w:val="en-GB" w:eastAsia="ko-KR"/>
              </w:rPr>
            </w:pPr>
            <w:r w:rsidRPr="007B1FF8">
              <w:rPr>
                <w:rFonts w:eastAsia="Times New Roman" w:cs="v4.2.0"/>
                <w:szCs w:val="20"/>
                <w:lang w:val="en-GB" w:eastAsia="zh-CN"/>
              </w:rPr>
              <w:t>In FR1, the NR PSC</w:t>
            </w:r>
            <w:r w:rsidRPr="007B1FF8">
              <w:rPr>
                <w:rFonts w:eastAsia="Times New Roman" w:cs="v4.2.0"/>
                <w:szCs w:val="20"/>
                <w:lang w:val="en-GB" w:eastAsia="ko-KR"/>
              </w:rPr>
              <w:t xml:space="preserve">ell is known if it </w:t>
            </w:r>
            <w:r w:rsidRPr="007B1FF8">
              <w:rPr>
                <w:rFonts w:eastAsia="Times New Roman" w:cs="Times New Roman"/>
                <w:szCs w:val="20"/>
                <w:lang w:val="en-GB" w:eastAsia="ko-KR"/>
              </w:rPr>
              <w:t>has been meeting the following conditions:</w:t>
            </w:r>
          </w:p>
          <w:p w14:paraId="043248DE" w14:textId="77777777" w:rsidR="00F84F26" w:rsidRPr="007B1FF8" w:rsidRDefault="00F84F26" w:rsidP="00F84F26">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7B1FF8">
              <w:rPr>
                <w:rFonts w:eastAsia="Times New Roman" w:cs="Times New Roman"/>
                <w:szCs w:val="20"/>
                <w:lang w:val="en-GB" w:eastAsia="ko-KR"/>
              </w:rPr>
              <w:t>During the last 5</w:t>
            </w:r>
            <w:r w:rsidRPr="007B1FF8">
              <w:rPr>
                <w:rFonts w:eastAsia="Times New Roman" w:cs="Times New Roman" w:hint="eastAsia"/>
                <w:szCs w:val="20"/>
                <w:lang w:val="en-GB" w:eastAsia="ko-KR"/>
              </w:rPr>
              <w:t xml:space="preserve"> seconds</w:t>
            </w:r>
            <w:r w:rsidRPr="007B1FF8">
              <w:rPr>
                <w:rFonts w:eastAsia="Times New Roman" w:cs="Times New Roman"/>
                <w:szCs w:val="20"/>
                <w:lang w:val="en-GB" w:eastAsia="ko-KR"/>
              </w:rPr>
              <w:t xml:space="preserve"> before the reception of the NR </w:t>
            </w:r>
            <w:r w:rsidRPr="007B1FF8">
              <w:rPr>
                <w:rFonts w:eastAsia="Times New Roman" w:cs="Times New Roman" w:hint="eastAsia"/>
                <w:szCs w:val="20"/>
                <w:lang w:val="en-GB" w:eastAsia="zh-CN"/>
              </w:rPr>
              <w:t>P</w:t>
            </w:r>
            <w:r w:rsidRPr="007B1FF8">
              <w:rPr>
                <w:rFonts w:eastAsia="Times New Roman" w:cs="Times New Roman"/>
                <w:szCs w:val="20"/>
                <w:lang w:val="en-GB" w:eastAsia="ko-KR"/>
              </w:rPr>
              <w:t xml:space="preserve">SCell </w:t>
            </w:r>
            <w:r w:rsidRPr="007B1FF8">
              <w:rPr>
                <w:rFonts w:eastAsia="Times New Roman" w:cs="Times New Roman" w:hint="eastAsia"/>
                <w:szCs w:val="20"/>
                <w:lang w:val="en-GB" w:eastAsia="zh-CN"/>
              </w:rPr>
              <w:t>configuration</w:t>
            </w:r>
            <w:r w:rsidRPr="007B1FF8">
              <w:rPr>
                <w:rFonts w:eastAsia="Times New Roman" w:cs="Times New Roman"/>
                <w:szCs w:val="20"/>
                <w:lang w:val="en-GB" w:eastAsia="ko-KR"/>
              </w:rPr>
              <w:t xml:space="preserve"> command:</w:t>
            </w:r>
          </w:p>
          <w:p w14:paraId="182215F0" w14:textId="77777777" w:rsidR="00F84F26" w:rsidRPr="007B1FF8" w:rsidRDefault="00F84F26" w:rsidP="00F84F26">
            <w:pPr>
              <w:overflowPunct w:val="0"/>
              <w:autoSpaceDE w:val="0"/>
              <w:autoSpaceDN w:val="0"/>
              <w:adjustRightInd w:val="0"/>
              <w:spacing w:after="180"/>
              <w:ind w:left="851" w:hanging="284"/>
              <w:textAlignment w:val="baseline"/>
              <w:rPr>
                <w:rFonts w:eastAsia="Times New Roman" w:cs="Times New Roman"/>
                <w:szCs w:val="20"/>
                <w:lang w:val="en-GB" w:eastAsia="ko-KR"/>
              </w:rPr>
            </w:pPr>
            <w:r w:rsidRPr="007B1FF8">
              <w:rPr>
                <w:rFonts w:eastAsia="Times New Roman" w:cs="Times New Roman"/>
                <w:szCs w:val="20"/>
                <w:lang w:val="en-GB" w:eastAsia="ko-KR"/>
              </w:rPr>
              <w:t>-</w:t>
            </w:r>
            <w:r w:rsidRPr="007B1FF8">
              <w:rPr>
                <w:rFonts w:eastAsia="Times New Roman" w:cs="Times New Roman"/>
                <w:szCs w:val="20"/>
                <w:lang w:val="en-GB" w:eastAsia="ko-KR"/>
              </w:rPr>
              <w:tab/>
              <w:t xml:space="preserve">the UE has sent a valid measurement report for the NR </w:t>
            </w:r>
            <w:r w:rsidRPr="007B1FF8">
              <w:rPr>
                <w:rFonts w:eastAsia="Times New Roman" w:cs="Times New Roman"/>
                <w:szCs w:val="20"/>
                <w:lang w:val="en-GB" w:eastAsia="zh-CN"/>
              </w:rPr>
              <w:t>P</w:t>
            </w:r>
            <w:r w:rsidRPr="007B1FF8">
              <w:rPr>
                <w:rFonts w:eastAsia="Times New Roman" w:cs="Times New Roman"/>
                <w:szCs w:val="20"/>
                <w:lang w:val="en-GB" w:eastAsia="ko-KR"/>
              </w:rPr>
              <w:t xml:space="preserve">SCell being </w:t>
            </w:r>
            <w:r w:rsidRPr="007B1FF8">
              <w:rPr>
                <w:rFonts w:eastAsia="Times New Roman" w:cs="Times New Roman"/>
                <w:szCs w:val="20"/>
                <w:lang w:val="en-GB" w:eastAsia="zh-CN"/>
              </w:rPr>
              <w:t>configured</w:t>
            </w:r>
            <w:r w:rsidRPr="007B1FF8">
              <w:rPr>
                <w:rFonts w:eastAsia="Times New Roman" w:cs="Times New Roman"/>
                <w:szCs w:val="20"/>
                <w:lang w:val="en-GB" w:eastAsia="ko-KR"/>
              </w:rPr>
              <w:t xml:space="preserve"> and</w:t>
            </w:r>
          </w:p>
          <w:p w14:paraId="6EB04EE2" w14:textId="77777777" w:rsidR="00F84F26" w:rsidRPr="007B1FF8" w:rsidRDefault="00F84F26" w:rsidP="00F84F26">
            <w:pPr>
              <w:overflowPunct w:val="0"/>
              <w:autoSpaceDE w:val="0"/>
              <w:autoSpaceDN w:val="0"/>
              <w:adjustRightInd w:val="0"/>
              <w:spacing w:after="180"/>
              <w:ind w:left="851" w:hanging="284"/>
              <w:textAlignment w:val="baseline"/>
              <w:rPr>
                <w:rFonts w:eastAsia="Times New Roman" w:cs="Times New Roman"/>
                <w:szCs w:val="20"/>
                <w:lang w:val="en-GB" w:eastAsia="ko-KR"/>
              </w:rPr>
            </w:pPr>
            <w:r w:rsidRPr="007B1FF8">
              <w:rPr>
                <w:rFonts w:eastAsia="Times New Roman" w:cs="Times New Roman"/>
                <w:szCs w:val="20"/>
                <w:lang w:val="en-GB" w:eastAsia="ko-KR"/>
              </w:rPr>
              <w:t>-</w:t>
            </w:r>
            <w:r w:rsidRPr="007B1FF8">
              <w:rPr>
                <w:rFonts w:eastAsia="Times New Roman" w:cs="Times New Roman"/>
                <w:szCs w:val="20"/>
                <w:lang w:val="en-GB" w:eastAsia="ko-KR"/>
              </w:rPr>
              <w:tab/>
            </w:r>
            <w:bookmarkStart w:id="4" w:name="_Hlk525737822"/>
            <w:r>
              <w:rPr>
                <w:rFonts w:eastAsia="Times New Roman" w:cs="Times New Roman"/>
                <w:szCs w:val="20"/>
                <w:lang w:val="en-GB" w:eastAsia="ko-KR"/>
              </w:rPr>
              <w:t xml:space="preserve">One of the SSBs measured from </w:t>
            </w:r>
            <w:r w:rsidRPr="007B1FF8">
              <w:rPr>
                <w:rFonts w:eastAsia="Times New Roman" w:cs="Times New Roman"/>
                <w:szCs w:val="20"/>
                <w:lang w:val="en-GB" w:eastAsia="ko-KR"/>
              </w:rPr>
              <w:t xml:space="preserve">the NR </w:t>
            </w:r>
            <w:r w:rsidRPr="007B1FF8">
              <w:rPr>
                <w:rFonts w:eastAsia="Times New Roman" w:cs="Times New Roman"/>
                <w:szCs w:val="20"/>
                <w:lang w:val="en-GB" w:eastAsia="zh-CN"/>
              </w:rPr>
              <w:t>P</w:t>
            </w:r>
            <w:r w:rsidRPr="007B1FF8">
              <w:rPr>
                <w:rFonts w:eastAsia="Times New Roman" w:cs="Times New Roman"/>
                <w:szCs w:val="20"/>
                <w:lang w:val="en-GB" w:eastAsia="ko-KR"/>
              </w:rPr>
              <w:t xml:space="preserve">SCell being </w:t>
            </w:r>
            <w:r w:rsidRPr="007B1FF8">
              <w:rPr>
                <w:rFonts w:eastAsia="Times New Roman" w:cs="Times New Roman"/>
                <w:szCs w:val="20"/>
                <w:lang w:val="en-GB" w:eastAsia="zh-CN"/>
              </w:rPr>
              <w:t>configured</w:t>
            </w:r>
            <w:r w:rsidRPr="007B1FF8">
              <w:rPr>
                <w:rFonts w:eastAsia="Times New Roman" w:cs="Times New Roman"/>
                <w:szCs w:val="20"/>
                <w:lang w:val="en-GB" w:eastAsia="ko-KR"/>
              </w:rPr>
              <w:t xml:space="preserve"> remains detectable according to the cell identification conditions specified in section </w:t>
            </w:r>
            <w:r w:rsidRPr="007B1FF8">
              <w:rPr>
                <w:rFonts w:eastAsia="Malgun Gothic" w:cs="Times New Roman" w:hint="eastAsia"/>
                <w:szCs w:val="20"/>
                <w:lang w:val="en-GB" w:eastAsia="zh-CN"/>
              </w:rPr>
              <w:t>9.3</w:t>
            </w:r>
            <w:r w:rsidRPr="007B1FF8">
              <w:rPr>
                <w:rFonts w:eastAsia="Times New Roman" w:cs="Times New Roman"/>
                <w:szCs w:val="20"/>
                <w:lang w:val="en-GB" w:eastAsia="ko-KR"/>
              </w:rPr>
              <w:t xml:space="preserve"> of TS 38.133 [50],</w:t>
            </w:r>
            <w:bookmarkEnd w:id="4"/>
          </w:p>
          <w:p w14:paraId="7CCF24DE" w14:textId="77777777" w:rsidR="00F84F26" w:rsidRPr="007B1FF8" w:rsidRDefault="00F84F26" w:rsidP="00F84F26">
            <w:pPr>
              <w:overflowPunct w:val="0"/>
              <w:autoSpaceDE w:val="0"/>
              <w:autoSpaceDN w:val="0"/>
              <w:adjustRightInd w:val="0"/>
              <w:spacing w:after="180"/>
              <w:ind w:left="568" w:hanging="284"/>
              <w:textAlignment w:val="baseline"/>
              <w:rPr>
                <w:rFonts w:eastAsia="Times New Roman" w:cs="Times New Roman"/>
                <w:szCs w:val="20"/>
                <w:lang w:val="en-GB" w:eastAsia="ko-KR"/>
              </w:rPr>
            </w:pPr>
            <w:r w:rsidRPr="007B1FF8">
              <w:rPr>
                <w:rFonts w:eastAsia="Times New Roman" w:cs="Times New Roman"/>
                <w:szCs w:val="20"/>
                <w:lang w:val="en-GB" w:eastAsia="ko-KR"/>
              </w:rPr>
              <w:t>-</w:t>
            </w:r>
            <w:r w:rsidRPr="007B1FF8">
              <w:rPr>
                <w:rFonts w:eastAsia="Times New Roman" w:cs="Times New Roman"/>
                <w:szCs w:val="20"/>
                <w:lang w:val="en-GB" w:eastAsia="ko-KR"/>
              </w:rPr>
              <w:tab/>
            </w:r>
            <w:bookmarkStart w:id="5" w:name="_Hlk525737838"/>
            <w:r>
              <w:rPr>
                <w:rFonts w:eastAsia="Times New Roman" w:cs="Times New Roman"/>
                <w:szCs w:val="20"/>
                <w:lang w:val="en-GB" w:eastAsia="ko-KR"/>
              </w:rPr>
              <w:t xml:space="preserve">One of the SSBs measured from </w:t>
            </w:r>
            <w:r w:rsidRPr="007B1FF8">
              <w:rPr>
                <w:rFonts w:eastAsia="Times New Roman" w:cs="Times New Roman"/>
                <w:szCs w:val="20"/>
                <w:lang w:val="en-GB" w:eastAsia="ko-KR"/>
              </w:rPr>
              <w:t xml:space="preserve">NR </w:t>
            </w:r>
            <w:r w:rsidRPr="007B1FF8">
              <w:rPr>
                <w:rFonts w:eastAsia="Times New Roman" w:cs="Times New Roman"/>
                <w:szCs w:val="20"/>
                <w:lang w:val="en-GB" w:eastAsia="zh-CN"/>
              </w:rPr>
              <w:t>P</w:t>
            </w:r>
            <w:r w:rsidRPr="007B1FF8">
              <w:rPr>
                <w:rFonts w:eastAsia="Times New Roman" w:cs="Times New Roman"/>
                <w:szCs w:val="20"/>
                <w:lang w:val="en-GB" w:eastAsia="ko-KR"/>
              </w:rPr>
              <w:t xml:space="preserve">SCell being </w:t>
            </w:r>
            <w:r w:rsidRPr="007B1FF8">
              <w:rPr>
                <w:rFonts w:eastAsia="Times New Roman" w:cs="Times New Roman"/>
                <w:szCs w:val="20"/>
                <w:lang w:val="en-GB" w:eastAsia="zh-CN"/>
              </w:rPr>
              <w:t>configured</w:t>
            </w:r>
            <w:r w:rsidRPr="007B1FF8">
              <w:rPr>
                <w:rFonts w:eastAsia="Times New Roman" w:cs="Times New Roman"/>
                <w:szCs w:val="20"/>
                <w:lang w:val="en-GB" w:eastAsia="ko-KR"/>
              </w:rPr>
              <w:t xml:space="preserve"> also remains detectable during the NR </w:t>
            </w:r>
            <w:r w:rsidRPr="007B1FF8">
              <w:rPr>
                <w:rFonts w:eastAsia="Times New Roman" w:cs="Times New Roman"/>
                <w:szCs w:val="20"/>
                <w:lang w:val="en-GB" w:eastAsia="zh-CN"/>
              </w:rPr>
              <w:t>P</w:t>
            </w:r>
            <w:r w:rsidRPr="007B1FF8">
              <w:rPr>
                <w:rFonts w:eastAsia="Times New Roman" w:cs="Times New Roman"/>
                <w:szCs w:val="20"/>
                <w:lang w:val="en-GB" w:eastAsia="ko-KR"/>
              </w:rPr>
              <w:t xml:space="preserve">SCell </w:t>
            </w:r>
            <w:r w:rsidRPr="007B1FF8">
              <w:rPr>
                <w:rFonts w:eastAsia="Times New Roman" w:cs="Times New Roman"/>
                <w:szCs w:val="20"/>
                <w:lang w:val="en-GB" w:eastAsia="zh-CN"/>
              </w:rPr>
              <w:t>configuration</w:t>
            </w:r>
            <w:r w:rsidRPr="007B1FF8">
              <w:rPr>
                <w:rFonts w:eastAsia="Times New Roman" w:cs="Times New Roman"/>
                <w:szCs w:val="20"/>
                <w:lang w:val="en-GB" w:eastAsia="ko-KR"/>
              </w:rPr>
              <w:t xml:space="preserve"> delay according to the cell identification conditions specified in section 9.3</w:t>
            </w:r>
            <w:bookmarkEnd w:id="5"/>
            <w:r w:rsidRPr="007B1FF8">
              <w:rPr>
                <w:rFonts w:eastAsia="Times New Roman" w:cs="Times New Roman"/>
                <w:szCs w:val="20"/>
                <w:lang w:val="en-GB" w:eastAsia="ko-KR"/>
              </w:rPr>
              <w:t xml:space="preserve"> of TS 38.133 [50].</w:t>
            </w:r>
          </w:p>
          <w:p w14:paraId="7C2CBB0D" w14:textId="006ED076" w:rsidR="00F84F26" w:rsidRPr="00F84F26" w:rsidRDefault="00F84F26" w:rsidP="0018745C">
            <w:pPr>
              <w:overflowPunct w:val="0"/>
              <w:autoSpaceDE w:val="0"/>
              <w:autoSpaceDN w:val="0"/>
              <w:adjustRightInd w:val="0"/>
              <w:spacing w:after="180"/>
              <w:textAlignment w:val="baseline"/>
              <w:rPr>
                <w:rFonts w:eastAsia="Times New Roman" w:cs="Times New Roman"/>
                <w:szCs w:val="20"/>
                <w:lang w:val="en-GB" w:eastAsia="ko-KR"/>
              </w:rPr>
            </w:pPr>
            <w:r w:rsidRPr="007B1FF8">
              <w:rPr>
                <w:rFonts w:eastAsia="Times New Roman" w:cs="Times New Roman"/>
                <w:szCs w:val="20"/>
                <w:lang w:val="en-GB" w:eastAsia="ko-KR"/>
              </w:rPr>
              <w:t>otherwise it is unknown.</w:t>
            </w:r>
          </w:p>
        </w:tc>
      </w:tr>
    </w:tbl>
    <w:p w14:paraId="357723F7" w14:textId="77777777" w:rsidR="008F5503" w:rsidRDefault="008F5503" w:rsidP="00F84F26">
      <w:pPr>
        <w:ind w:right="-22"/>
        <w:rPr>
          <w:rFonts w:cs="Times New Roman"/>
          <w:szCs w:val="20"/>
          <w:lang w:eastAsia="zh-CN"/>
        </w:rPr>
      </w:pPr>
    </w:p>
    <w:p w14:paraId="1502237B" w14:textId="504A3B82" w:rsidR="00295A5A" w:rsidRDefault="00295A5A" w:rsidP="00295A5A">
      <w:pPr>
        <w:ind w:right="-22"/>
        <w:rPr>
          <w:rFonts w:cs="Times New Roman"/>
          <w:szCs w:val="20"/>
          <w:lang w:eastAsia="zh-CN"/>
        </w:rPr>
      </w:pPr>
      <w:r w:rsidRPr="00295A5A">
        <w:rPr>
          <w:rFonts w:cs="Times New Roman"/>
          <w:szCs w:val="20"/>
          <w:lang w:eastAsia="zh-CN"/>
        </w:rPr>
        <w:t xml:space="preserve">In the agreement, the PSCell known condition in FR1 is ready, but in FR2, there is no definition for PSCell known condition. </w:t>
      </w:r>
    </w:p>
    <w:p w14:paraId="4AD9B8AD" w14:textId="21253F51" w:rsidR="00295A5A" w:rsidRDefault="00295A5A" w:rsidP="00295A5A">
      <w:pPr>
        <w:ind w:right="-22"/>
        <w:rPr>
          <w:rFonts w:cs="Times New Roman"/>
          <w:szCs w:val="20"/>
          <w:lang w:eastAsia="zh-CN"/>
        </w:rPr>
      </w:pPr>
      <w:r>
        <w:rPr>
          <w:rFonts w:cs="Times New Roman"/>
          <w:szCs w:val="20"/>
          <w:lang w:eastAsia="zh-CN"/>
        </w:rPr>
        <w:t xml:space="preserve">When a cell is a known cell, it means that this cell is already detected, measured and reported, the cell information is visible for UE. </w:t>
      </w:r>
    </w:p>
    <w:p w14:paraId="2CFAD4F4" w14:textId="27490AE7" w:rsidR="00295A5A" w:rsidRDefault="00295A5A" w:rsidP="00295A5A">
      <w:pPr>
        <w:ind w:right="-22"/>
        <w:rPr>
          <w:rFonts w:cs="Times New Roman"/>
          <w:szCs w:val="20"/>
          <w:lang w:eastAsia="zh-CN"/>
        </w:rPr>
      </w:pPr>
      <w:r>
        <w:rPr>
          <w:rFonts w:cs="Times New Roman"/>
          <w:szCs w:val="20"/>
          <w:lang w:eastAsia="zh-CN"/>
        </w:rPr>
        <w:t xml:space="preserve">When a cell is an unknown cell, cell detection is needed. </w:t>
      </w:r>
    </w:p>
    <w:p w14:paraId="518F8F53" w14:textId="77777777" w:rsidR="006269BF" w:rsidRDefault="001B3349" w:rsidP="00295A5A">
      <w:pPr>
        <w:ind w:right="-22"/>
        <w:rPr>
          <w:rFonts w:cs="Times New Roman"/>
          <w:szCs w:val="20"/>
          <w:lang w:eastAsia="zh-CN"/>
        </w:rPr>
      </w:pPr>
      <w:r>
        <w:rPr>
          <w:rFonts w:cs="Times New Roman"/>
          <w:szCs w:val="20"/>
          <w:lang w:eastAsia="zh-CN"/>
        </w:rPr>
        <w:t xml:space="preserve">Based on this understanding, the PSCell addition delay should be different </w:t>
      </w:r>
      <w:r w:rsidR="007349C1">
        <w:rPr>
          <w:rFonts w:cs="Times New Roman"/>
          <w:szCs w:val="20"/>
          <w:lang w:eastAsia="zh-CN"/>
        </w:rPr>
        <w:t>for known cell and unknown cell</w:t>
      </w:r>
      <w:r>
        <w:rPr>
          <w:rFonts w:cs="Times New Roman"/>
          <w:szCs w:val="20"/>
          <w:lang w:eastAsia="zh-CN"/>
        </w:rPr>
        <w:t xml:space="preserve">. It is defined in E-UTRA and FR1 that the PSCell addition delay is different for known cell and unknown cell. However the same PSCell addition delay is given for FR2 cell. </w:t>
      </w:r>
    </w:p>
    <w:p w14:paraId="139F87DC" w14:textId="77777777" w:rsidR="009869D1" w:rsidRDefault="009869D1" w:rsidP="009869D1">
      <w:pPr>
        <w:ind w:right="-22"/>
        <w:rPr>
          <w:rFonts w:cs="Times New Roman"/>
          <w:szCs w:val="20"/>
          <w:lang w:eastAsia="zh-CN"/>
        </w:rPr>
      </w:pPr>
      <w:r w:rsidRPr="004430B4">
        <w:rPr>
          <w:rFonts w:cs="Times New Roman"/>
          <w:szCs w:val="20"/>
          <w:lang w:eastAsia="zh-CN"/>
        </w:rPr>
        <w:t>For FR2, there are some additional consideration</w:t>
      </w:r>
      <w:r>
        <w:rPr>
          <w:rFonts w:cs="Times New Roman"/>
          <w:szCs w:val="20"/>
          <w:lang w:eastAsia="zh-CN"/>
        </w:rPr>
        <w:t>s because of</w:t>
      </w:r>
      <w:r w:rsidRPr="004430B4">
        <w:rPr>
          <w:rFonts w:cs="Times New Roman"/>
          <w:szCs w:val="20"/>
          <w:lang w:eastAsia="zh-CN"/>
        </w:rPr>
        <w:t xml:space="preserve"> beamforming </w:t>
      </w:r>
      <w:r>
        <w:rPr>
          <w:rFonts w:cs="Times New Roman"/>
          <w:szCs w:val="20"/>
          <w:lang w:eastAsia="zh-CN"/>
        </w:rPr>
        <w:t>being used</w:t>
      </w:r>
      <w:r w:rsidRPr="00D17DAE">
        <w:rPr>
          <w:rFonts w:cs="Times New Roman"/>
          <w:szCs w:val="20"/>
          <w:lang w:eastAsia="zh-CN"/>
        </w:rPr>
        <w:t>.</w:t>
      </w:r>
      <w:r>
        <w:rPr>
          <w:rFonts w:cs="Times New Roman"/>
          <w:szCs w:val="20"/>
          <w:lang w:eastAsia="zh-CN"/>
        </w:rPr>
        <w:t xml:space="preserve"> We assume the following scenarios for the period for tracking whether the cell is known:</w:t>
      </w:r>
    </w:p>
    <w:p w14:paraId="6A2BBB7E" w14:textId="77777777" w:rsidR="009869D1" w:rsidRDefault="009869D1" w:rsidP="009869D1">
      <w:pPr>
        <w:pStyle w:val="ListParagraph"/>
        <w:numPr>
          <w:ilvl w:val="0"/>
          <w:numId w:val="38"/>
        </w:numPr>
        <w:ind w:right="-22"/>
        <w:rPr>
          <w:rFonts w:cs="Times New Roman"/>
          <w:szCs w:val="20"/>
          <w:lang w:eastAsia="zh-CN"/>
        </w:rPr>
      </w:pPr>
      <w:r>
        <w:rPr>
          <w:rFonts w:cs="Times New Roman"/>
          <w:szCs w:val="20"/>
          <w:lang w:eastAsia="zh-CN"/>
        </w:rPr>
        <w:t>gNb cell and beam remain the same</w:t>
      </w:r>
    </w:p>
    <w:p w14:paraId="2AC4AFEF" w14:textId="77777777" w:rsidR="009869D1" w:rsidRDefault="009869D1" w:rsidP="009869D1">
      <w:pPr>
        <w:pStyle w:val="ListParagraph"/>
        <w:numPr>
          <w:ilvl w:val="0"/>
          <w:numId w:val="38"/>
        </w:numPr>
        <w:ind w:right="-22"/>
        <w:rPr>
          <w:rFonts w:cs="Times New Roman"/>
          <w:szCs w:val="20"/>
          <w:lang w:eastAsia="zh-CN"/>
        </w:rPr>
      </w:pPr>
      <w:r>
        <w:rPr>
          <w:rFonts w:cs="Times New Roman"/>
          <w:szCs w:val="20"/>
          <w:lang w:eastAsia="zh-CN"/>
        </w:rPr>
        <w:t>gNb cell remains the same, but beam changes</w:t>
      </w:r>
    </w:p>
    <w:p w14:paraId="569E3186" w14:textId="77777777" w:rsidR="009869D1" w:rsidRDefault="009869D1" w:rsidP="009869D1">
      <w:pPr>
        <w:pStyle w:val="ListParagraph"/>
        <w:numPr>
          <w:ilvl w:val="0"/>
          <w:numId w:val="38"/>
        </w:numPr>
        <w:ind w:right="-22"/>
        <w:rPr>
          <w:rFonts w:cs="Times New Roman"/>
          <w:szCs w:val="20"/>
          <w:lang w:eastAsia="zh-CN"/>
        </w:rPr>
      </w:pPr>
      <w:r>
        <w:rPr>
          <w:rFonts w:cs="Times New Roman"/>
          <w:szCs w:val="20"/>
          <w:lang w:eastAsia="zh-CN"/>
        </w:rPr>
        <w:t>gNb cell changes</w:t>
      </w:r>
    </w:p>
    <w:p w14:paraId="0DDEC962" w14:textId="48D61E83" w:rsidR="009869D1" w:rsidRDefault="009869D1" w:rsidP="009869D1">
      <w:pPr>
        <w:ind w:right="-22"/>
        <w:rPr>
          <w:rFonts w:cs="Times New Roman"/>
          <w:szCs w:val="20"/>
          <w:lang w:eastAsia="zh-CN"/>
        </w:rPr>
      </w:pPr>
      <w:r>
        <w:rPr>
          <w:rFonts w:cs="Times New Roman"/>
          <w:szCs w:val="20"/>
          <w:lang w:eastAsia="zh-CN"/>
        </w:rPr>
        <w:t>UE antenna panel may change or stay the same during the measurement period, but UE is assumed to be monitoring all Rx beams, like we have discussed in [</w:t>
      </w:r>
      <w:r w:rsidR="00AE56DA">
        <w:rPr>
          <w:rFonts w:cs="Times New Roman"/>
          <w:szCs w:val="20"/>
          <w:lang w:eastAsia="zh-CN"/>
        </w:rPr>
        <w:t>2</w:t>
      </w:r>
      <w:r>
        <w:rPr>
          <w:rFonts w:cs="Times New Roman"/>
          <w:szCs w:val="20"/>
          <w:lang w:eastAsia="zh-CN"/>
        </w:rPr>
        <w:t xml:space="preserve">].  When gNb cell stays the same, UE will still have the cell information even if </w:t>
      </w:r>
      <w:r>
        <w:rPr>
          <w:rFonts w:cs="Times New Roman"/>
          <w:szCs w:val="20"/>
          <w:lang w:eastAsia="zh-CN"/>
        </w:rPr>
        <w:lastRenderedPageBreak/>
        <w:t xml:space="preserve">the UE panel changes. </w:t>
      </w:r>
      <w:r>
        <w:t>UE Rx panel change does not lead to any loss of cell timing information including fine time and frequency in the UE</w:t>
      </w:r>
      <w:r>
        <w:rPr>
          <w:rFonts w:cs="Times New Roman"/>
          <w:szCs w:val="20"/>
          <w:lang w:eastAsia="zh-CN"/>
        </w:rPr>
        <w:t xml:space="preserve">. </w:t>
      </w:r>
    </w:p>
    <w:p w14:paraId="36E07710" w14:textId="77777777" w:rsidR="009869D1" w:rsidRDefault="009869D1" w:rsidP="009869D1">
      <w:pPr>
        <w:ind w:right="-22"/>
        <w:rPr>
          <w:rFonts w:cs="Times New Roman"/>
          <w:szCs w:val="20"/>
          <w:lang w:eastAsia="zh-CN"/>
        </w:rPr>
      </w:pPr>
      <w:r>
        <w:rPr>
          <w:rFonts w:cs="Times New Roman"/>
          <w:szCs w:val="20"/>
          <w:lang w:eastAsia="zh-CN"/>
        </w:rPr>
        <w:t xml:space="preserve">For case 1) above, the cell remains detectable, measured and reported, so the cell can be considered as a known cell. </w:t>
      </w:r>
    </w:p>
    <w:p w14:paraId="5C447F12" w14:textId="34150E98" w:rsidR="009869D1" w:rsidRDefault="009869D1" w:rsidP="004327F2">
      <w:pPr>
        <w:ind w:right="-22"/>
        <w:rPr>
          <w:rFonts w:cs="Times New Roman"/>
          <w:szCs w:val="20"/>
          <w:lang w:eastAsia="zh-CN"/>
        </w:rPr>
      </w:pPr>
      <w:r>
        <w:rPr>
          <w:rFonts w:cs="Times New Roman"/>
          <w:szCs w:val="20"/>
          <w:lang w:eastAsia="zh-CN"/>
        </w:rPr>
        <w:t xml:space="preserve">For case 2), gNb cell is the same, and the cell information does not change even if the beam changes. </w:t>
      </w:r>
      <w:r w:rsidR="009C62D4">
        <w:rPr>
          <w:rFonts w:cs="Times New Roman"/>
          <w:szCs w:val="20"/>
          <w:lang w:eastAsia="zh-CN"/>
        </w:rPr>
        <w:t xml:space="preserve">I.e. UE is rotating. </w:t>
      </w:r>
      <w:r w:rsidR="009C62D4" w:rsidRPr="00AD56B4">
        <w:rPr>
          <w:rFonts w:cs="Times New Roman"/>
          <w:szCs w:val="20"/>
          <w:lang w:eastAsia="zh-CN"/>
        </w:rPr>
        <w:t>As UE Rx beam forming is related to UE implementation and not testable from radio side, UE Rx b</w:t>
      </w:r>
      <w:r w:rsidR="009C62D4">
        <w:rPr>
          <w:rFonts w:cs="Times New Roman"/>
          <w:szCs w:val="20"/>
          <w:lang w:eastAsia="zh-CN"/>
        </w:rPr>
        <w:t>eam should not be part of the</w:t>
      </w:r>
      <w:r w:rsidR="009C62D4" w:rsidRPr="00AD56B4">
        <w:rPr>
          <w:rFonts w:cs="Times New Roman"/>
          <w:szCs w:val="20"/>
          <w:lang w:eastAsia="zh-CN"/>
        </w:rPr>
        <w:t xml:space="preserve"> </w:t>
      </w:r>
      <w:r w:rsidR="009C62D4">
        <w:rPr>
          <w:rFonts w:cs="Times New Roman"/>
          <w:szCs w:val="20"/>
          <w:lang w:eastAsia="zh-CN"/>
        </w:rPr>
        <w:t>P</w:t>
      </w:r>
      <w:r w:rsidR="009C62D4" w:rsidRPr="00AD56B4">
        <w:rPr>
          <w:rFonts w:cs="Times New Roman"/>
          <w:szCs w:val="20"/>
          <w:lang w:eastAsia="zh-CN"/>
        </w:rPr>
        <w:t>SCell a</w:t>
      </w:r>
      <w:r w:rsidR="009C62D4">
        <w:rPr>
          <w:rFonts w:cs="Times New Roman"/>
          <w:szCs w:val="20"/>
          <w:lang w:eastAsia="zh-CN"/>
        </w:rPr>
        <w:t>ddition</w:t>
      </w:r>
      <w:r w:rsidR="009C62D4" w:rsidRPr="00AD56B4">
        <w:rPr>
          <w:rFonts w:cs="Times New Roman"/>
          <w:szCs w:val="20"/>
          <w:lang w:eastAsia="zh-CN"/>
        </w:rPr>
        <w:t xml:space="preserve"> delay requirements. </w:t>
      </w:r>
      <w:r w:rsidR="00892DAC" w:rsidRPr="00AD56B4">
        <w:rPr>
          <w:rFonts w:cs="Times New Roman"/>
          <w:szCs w:val="20"/>
          <w:lang w:eastAsia="zh-CN"/>
        </w:rPr>
        <w:t xml:space="preserve">While the </w:t>
      </w:r>
      <w:r w:rsidR="00892DAC">
        <w:rPr>
          <w:rFonts w:cs="Times New Roman"/>
          <w:szCs w:val="20"/>
          <w:lang w:eastAsia="zh-CN"/>
        </w:rPr>
        <w:t>P</w:t>
      </w:r>
      <w:r w:rsidR="00892DAC" w:rsidRPr="00AD56B4">
        <w:rPr>
          <w:rFonts w:cs="Times New Roman"/>
          <w:szCs w:val="20"/>
          <w:lang w:eastAsia="zh-CN"/>
        </w:rPr>
        <w:t xml:space="preserve">SCell is </w:t>
      </w:r>
      <w:r w:rsidR="00892DAC">
        <w:rPr>
          <w:rFonts w:cs="Times New Roman"/>
          <w:szCs w:val="20"/>
          <w:lang w:eastAsia="zh-CN"/>
        </w:rPr>
        <w:t>configured</w:t>
      </w:r>
      <w:r w:rsidR="00892DAC" w:rsidRPr="00AD56B4">
        <w:rPr>
          <w:rFonts w:cs="Times New Roman"/>
          <w:szCs w:val="20"/>
          <w:lang w:eastAsia="zh-CN"/>
        </w:rPr>
        <w:t xml:space="preserve"> the UE will continuously measure the </w:t>
      </w:r>
      <w:r w:rsidR="00892DAC">
        <w:rPr>
          <w:rFonts w:cs="Times New Roman"/>
          <w:szCs w:val="20"/>
          <w:lang w:eastAsia="zh-CN"/>
        </w:rPr>
        <w:t>PS</w:t>
      </w:r>
      <w:r w:rsidR="00892DAC" w:rsidRPr="00AD56B4">
        <w:rPr>
          <w:rFonts w:cs="Times New Roman"/>
          <w:szCs w:val="20"/>
          <w:lang w:eastAsia="zh-CN"/>
        </w:rPr>
        <w:t xml:space="preserve">Cell according to the requirements. Such measurements include measuring using UE Rx beam sweeping. I.e. the UE should be able to track the </w:t>
      </w:r>
      <w:r w:rsidR="00892DAC">
        <w:rPr>
          <w:rFonts w:cs="Times New Roman"/>
          <w:szCs w:val="20"/>
          <w:lang w:eastAsia="zh-CN"/>
        </w:rPr>
        <w:t>P</w:t>
      </w:r>
      <w:r w:rsidR="00892DAC" w:rsidRPr="00AD56B4">
        <w:rPr>
          <w:rFonts w:cs="Times New Roman"/>
          <w:szCs w:val="20"/>
          <w:lang w:eastAsia="zh-CN"/>
        </w:rPr>
        <w:t xml:space="preserve">SCell and which Rx beam to use once the </w:t>
      </w:r>
      <w:r w:rsidR="00892DAC">
        <w:rPr>
          <w:rFonts w:cs="Times New Roman"/>
          <w:szCs w:val="20"/>
          <w:lang w:eastAsia="zh-CN"/>
        </w:rPr>
        <w:t>P</w:t>
      </w:r>
      <w:r w:rsidR="00892DAC" w:rsidRPr="00AD56B4">
        <w:rPr>
          <w:rFonts w:cs="Times New Roman"/>
          <w:szCs w:val="20"/>
          <w:lang w:eastAsia="zh-CN"/>
        </w:rPr>
        <w:t>SCell is being a</w:t>
      </w:r>
      <w:r w:rsidR="00892DAC">
        <w:rPr>
          <w:rFonts w:cs="Times New Roman"/>
          <w:szCs w:val="20"/>
          <w:lang w:eastAsia="zh-CN"/>
        </w:rPr>
        <w:t>dde</w:t>
      </w:r>
      <w:r w:rsidR="00892DAC" w:rsidRPr="00AD56B4">
        <w:rPr>
          <w:rFonts w:cs="Times New Roman"/>
          <w:szCs w:val="20"/>
          <w:lang w:eastAsia="zh-CN"/>
        </w:rPr>
        <w:t xml:space="preserve">d. </w:t>
      </w:r>
      <w:r w:rsidR="009C62D4">
        <w:rPr>
          <w:rFonts w:cs="Times New Roman"/>
          <w:szCs w:val="20"/>
          <w:lang w:eastAsia="zh-CN"/>
        </w:rPr>
        <w:t xml:space="preserve">In this case, </w:t>
      </w:r>
      <w:r w:rsidR="00892DAC">
        <w:rPr>
          <w:rFonts w:cs="Times New Roman"/>
          <w:szCs w:val="20"/>
          <w:lang w:eastAsia="zh-CN"/>
        </w:rPr>
        <w:t>gNb cell is the same,</w:t>
      </w:r>
      <w:r w:rsidR="009C62D4">
        <w:rPr>
          <w:rFonts w:cs="Times New Roman"/>
          <w:szCs w:val="20"/>
          <w:lang w:eastAsia="zh-CN"/>
        </w:rPr>
        <w:t xml:space="preserve"> the cell </w:t>
      </w:r>
      <w:r w:rsidR="00B00428">
        <w:rPr>
          <w:rFonts w:cs="Times New Roman"/>
          <w:szCs w:val="20"/>
          <w:lang w:eastAsia="zh-CN"/>
        </w:rPr>
        <w:t>remains</w:t>
      </w:r>
      <w:r w:rsidR="009C62D4">
        <w:rPr>
          <w:rFonts w:cs="Times New Roman"/>
          <w:szCs w:val="20"/>
          <w:lang w:eastAsia="zh-CN"/>
        </w:rPr>
        <w:t xml:space="preserve"> detectable</w:t>
      </w:r>
      <w:r w:rsidR="004327F2">
        <w:rPr>
          <w:rFonts w:cs="Times New Roman"/>
          <w:szCs w:val="20"/>
          <w:lang w:eastAsia="zh-CN"/>
        </w:rPr>
        <w:t xml:space="preserve"> and no need to do full cell detection again</w:t>
      </w:r>
      <w:r w:rsidR="009C62D4">
        <w:rPr>
          <w:rFonts w:cs="Times New Roman"/>
          <w:szCs w:val="20"/>
          <w:lang w:eastAsia="zh-CN"/>
        </w:rPr>
        <w:t xml:space="preserve">. </w:t>
      </w:r>
      <w:r>
        <w:rPr>
          <w:rFonts w:cs="Times New Roman"/>
          <w:szCs w:val="20"/>
          <w:lang w:eastAsia="zh-CN"/>
        </w:rPr>
        <w:t xml:space="preserve">so in this case the cell can also be considered known. </w:t>
      </w:r>
    </w:p>
    <w:p w14:paraId="4ACBC2B6" w14:textId="710B1673" w:rsidR="009869D1" w:rsidRDefault="009869D1" w:rsidP="009869D1">
      <w:pPr>
        <w:ind w:right="-22"/>
        <w:rPr>
          <w:rFonts w:cs="Times New Roman"/>
          <w:szCs w:val="20"/>
          <w:lang w:eastAsia="zh-CN"/>
        </w:rPr>
      </w:pPr>
      <w:r>
        <w:rPr>
          <w:rFonts w:cs="Times New Roman"/>
          <w:szCs w:val="20"/>
          <w:lang w:eastAsia="zh-CN"/>
        </w:rPr>
        <w:t xml:space="preserve">For case 3), since gNb cell is changed, </w:t>
      </w:r>
      <w:r w:rsidR="00231ABE">
        <w:rPr>
          <w:rFonts w:cs="Times New Roman"/>
          <w:szCs w:val="20"/>
          <w:lang w:eastAsia="zh-CN"/>
        </w:rPr>
        <w:t xml:space="preserve">UE may lose the cell information, then UE needs to detect the cell again. </w:t>
      </w:r>
      <w:r>
        <w:rPr>
          <w:rFonts w:cs="Times New Roman"/>
          <w:szCs w:val="20"/>
          <w:lang w:eastAsia="zh-CN"/>
        </w:rPr>
        <w:t>In this case the cell can be considered unknown.</w:t>
      </w:r>
    </w:p>
    <w:p w14:paraId="36815AD2" w14:textId="58C3E9EE" w:rsidR="004327F2" w:rsidRPr="00AD56B4" w:rsidRDefault="004327F2" w:rsidP="004327F2">
      <w:pPr>
        <w:ind w:right="-22"/>
        <w:rPr>
          <w:rFonts w:cs="Times New Roman"/>
          <w:szCs w:val="20"/>
          <w:lang w:eastAsia="zh-CN"/>
        </w:rPr>
      </w:pPr>
      <w:r>
        <w:rPr>
          <w:rFonts w:cs="Times New Roman"/>
          <w:szCs w:val="20"/>
          <w:lang w:eastAsia="zh-CN"/>
        </w:rPr>
        <w:t>Based on this analysis, the cell in case 1 &amp; 2 remains detectable and can be considered known. Fr</w:t>
      </w:r>
      <w:r w:rsidRPr="00AD56B4">
        <w:rPr>
          <w:rFonts w:cs="Times New Roman"/>
          <w:szCs w:val="20"/>
          <w:lang w:eastAsia="zh-CN"/>
        </w:rPr>
        <w:t>om requirements point of view, RAN4 can include a condition that for a known</w:t>
      </w:r>
      <w:r>
        <w:rPr>
          <w:rFonts w:cs="Times New Roman"/>
          <w:szCs w:val="20"/>
          <w:lang w:eastAsia="zh-CN"/>
        </w:rPr>
        <w:t xml:space="preserve"> P</w:t>
      </w:r>
      <w:r w:rsidRPr="00AD56B4">
        <w:rPr>
          <w:rFonts w:cs="Times New Roman"/>
          <w:szCs w:val="20"/>
          <w:lang w:eastAsia="zh-CN"/>
        </w:rPr>
        <w:t>SCell it is assumed that the Tx beam that transmitted SSB when the UE reported the cell has not changed, and under such condition the cell is and remains detectable.</w:t>
      </w:r>
      <w:r>
        <w:rPr>
          <w:rFonts w:cs="Times New Roman"/>
          <w:szCs w:val="20"/>
          <w:lang w:eastAsia="zh-CN"/>
        </w:rPr>
        <w:t xml:space="preserve"> With this assumption, we can consider that the cell in case 1 &amp; 2 is a known cell, and the cell in case 3 is an unknown cell. Compared to FR1, Cell known definition is also needed for FR2. In current PSCell known condition in FR1, it is already indicated that the SSB measured from NR PSCell being configured also remains detectable. So we could reuse the definition of PSCell known condition in FR1 for FR2 directly. </w:t>
      </w:r>
    </w:p>
    <w:p w14:paraId="5DC9BF53" w14:textId="4DB16639" w:rsidR="00425413" w:rsidRDefault="00F84F26" w:rsidP="00425413">
      <w:pPr>
        <w:pStyle w:val="RAN4proposal"/>
        <w:ind w:left="0" w:firstLine="0"/>
        <w:rPr>
          <w:lang w:val="en-GB" w:eastAsia="zh-CN"/>
        </w:rPr>
      </w:pPr>
      <w:bookmarkStart w:id="6" w:name="_Hlk514058418"/>
      <w:bookmarkStart w:id="7" w:name="_GoBack"/>
      <w:bookmarkEnd w:id="7"/>
      <w:r w:rsidRPr="007B5A74">
        <w:t xml:space="preserve">NR </w:t>
      </w:r>
      <w:r>
        <w:t>P</w:t>
      </w:r>
      <w:r w:rsidRPr="007B5A74">
        <w:t xml:space="preserve">SCell known condition in FR2 </w:t>
      </w:r>
      <w:r w:rsidR="00D816AC">
        <w:t>is</w:t>
      </w:r>
      <w:r>
        <w:t xml:space="preserve"> the same as FR1</w:t>
      </w:r>
      <w:r w:rsidR="00FD15F4">
        <w:t>.</w:t>
      </w:r>
    </w:p>
    <w:p w14:paraId="478D9888" w14:textId="6CE00F4B" w:rsidR="00F84F26" w:rsidRDefault="00F84F26" w:rsidP="00FD15F4">
      <w:pPr>
        <w:pStyle w:val="RAN4proposal"/>
        <w:numPr>
          <w:ilvl w:val="0"/>
          <w:numId w:val="0"/>
        </w:numPr>
      </w:pPr>
    </w:p>
    <w:p w14:paraId="0BA9C4AC" w14:textId="01D21645" w:rsidR="00276392" w:rsidRDefault="00276392" w:rsidP="00276392">
      <w:pPr>
        <w:pStyle w:val="RAN4H2"/>
        <w:ind w:left="431" w:hanging="431"/>
      </w:pPr>
      <w:r>
        <w:t>PSCell addition delay in FR2</w:t>
      </w:r>
    </w:p>
    <w:p w14:paraId="5D048B3D" w14:textId="092A54C0" w:rsidR="00FB2373" w:rsidRPr="00A2740E" w:rsidRDefault="00271492" w:rsidP="00FB2373">
      <w:pPr>
        <w:ind w:right="-22"/>
        <w:rPr>
          <w:rFonts w:cs="Times New Roman"/>
          <w:szCs w:val="20"/>
          <w:lang w:eastAsia="zh-CN"/>
        </w:rPr>
      </w:pPr>
      <w:r>
        <w:rPr>
          <w:rFonts w:cs="Times New Roman"/>
          <w:szCs w:val="20"/>
          <w:lang w:eastAsia="zh-CN"/>
        </w:rPr>
        <w:t xml:space="preserve">With the analysis of known cell definition in FR2, </w:t>
      </w:r>
      <w:r w:rsidR="00A2740E">
        <w:rPr>
          <w:rFonts w:cs="Times New Roman"/>
          <w:szCs w:val="20"/>
          <w:lang w:eastAsia="zh-CN"/>
        </w:rPr>
        <w:t>we also have known cell and unknown cell in FR2, i</w:t>
      </w:r>
      <w:r w:rsidR="00FB2373">
        <w:rPr>
          <w:rFonts w:cs="Times New Roman"/>
          <w:szCs w:val="20"/>
          <w:lang w:eastAsia="zh-CN"/>
        </w:rPr>
        <w:t xml:space="preserve">f the FR2 cell is a known cell, </w:t>
      </w:r>
      <w:r w:rsidR="00A2740E">
        <w:rPr>
          <w:rFonts w:cs="Times New Roman"/>
          <w:szCs w:val="20"/>
          <w:lang w:eastAsia="zh-CN"/>
        </w:rPr>
        <w:t xml:space="preserve">the cell is already detected, measured and reported. We do not need to do </w:t>
      </w:r>
      <w:r w:rsidR="007063D8">
        <w:rPr>
          <w:rFonts w:cs="Times New Roman"/>
          <w:szCs w:val="20"/>
          <w:lang w:eastAsia="zh-CN"/>
        </w:rPr>
        <w:t>cell detection again. No sample</w:t>
      </w:r>
      <w:r w:rsidR="00A2740E">
        <w:rPr>
          <w:rFonts w:cs="Times New Roman"/>
          <w:szCs w:val="20"/>
          <w:lang w:eastAsia="zh-CN"/>
        </w:rPr>
        <w:t xml:space="preserve"> is needed for cell search. </w:t>
      </w:r>
    </w:p>
    <w:p w14:paraId="2225CF03" w14:textId="5D231485" w:rsidR="00276392" w:rsidRDefault="00A2740E" w:rsidP="00276392">
      <w:pPr>
        <w:pStyle w:val="RAN4proposal"/>
      </w:pPr>
      <w:r>
        <w:t>NR PSCell addition delay in FR2 could be:</w:t>
      </w:r>
    </w:p>
    <w:p w14:paraId="431200DC" w14:textId="3DCFBD97" w:rsidR="00A2740E" w:rsidRDefault="00A2740E" w:rsidP="00A2740E">
      <w:pPr>
        <w:pStyle w:val="RAN4proposal"/>
        <w:numPr>
          <w:ilvl w:val="0"/>
          <w:numId w:val="0"/>
        </w:numPr>
        <w:ind w:left="360" w:hanging="360"/>
        <w:rPr>
          <w:lang w:eastAsia="ko-KR"/>
        </w:rPr>
      </w:pPr>
      <w:r w:rsidRPr="007B1FF8">
        <w:rPr>
          <w:lang w:eastAsia="ko-KR"/>
        </w:rPr>
        <w:t>-</w:t>
      </w:r>
      <w:r w:rsidRPr="007B1FF8">
        <w:rPr>
          <w:lang w:eastAsia="ko-KR"/>
        </w:rPr>
        <w:tab/>
      </w:r>
      <w:r w:rsidRPr="0014337C">
        <w:rPr>
          <w:lang w:eastAsia="ko-KR"/>
        </w:rPr>
        <w:t xml:space="preserve">For </w:t>
      </w:r>
      <w:r>
        <w:rPr>
          <w:lang w:eastAsia="ko-KR"/>
        </w:rPr>
        <w:t xml:space="preserve">NR </w:t>
      </w:r>
      <w:r w:rsidRPr="0014337C">
        <w:rPr>
          <w:lang w:eastAsia="ko-KR"/>
        </w:rPr>
        <w:t xml:space="preserve">PSCell in FR2: </w:t>
      </w:r>
      <w:r>
        <w:rPr>
          <w:lang w:eastAsia="ko-KR"/>
        </w:rPr>
        <w:t>i</w:t>
      </w:r>
      <w:r w:rsidRPr="0014337C">
        <w:rPr>
          <w:lang w:eastAsia="ko-KR"/>
        </w:rPr>
        <w:t xml:space="preserve">f the target cell is </w:t>
      </w:r>
      <w:r>
        <w:rPr>
          <w:lang w:eastAsia="ko-KR"/>
        </w:rPr>
        <w:t>known, then T</w:t>
      </w:r>
      <w:r w:rsidRPr="00AF2982">
        <w:rPr>
          <w:vertAlign w:val="subscript"/>
          <w:lang w:eastAsia="ko-KR"/>
        </w:rPr>
        <w:t>search</w:t>
      </w:r>
      <w:r>
        <w:rPr>
          <w:lang w:eastAsia="ko-KR"/>
        </w:rPr>
        <w:t xml:space="preserve"> = </w:t>
      </w:r>
      <w:r w:rsidR="009C62D4">
        <w:rPr>
          <w:lang w:eastAsia="ko-KR"/>
        </w:rPr>
        <w:t>0</w:t>
      </w:r>
      <w:r>
        <w:rPr>
          <w:lang w:eastAsia="ko-KR"/>
        </w:rPr>
        <w:t xml:space="preserve"> ms. If the target cell is an unknown </w:t>
      </w:r>
      <w:r w:rsidRPr="0014337C">
        <w:rPr>
          <w:lang w:eastAsia="ko-KR"/>
        </w:rPr>
        <w:t>cell and signal quality is sufficient for successful cell detection, then T</w:t>
      </w:r>
      <w:r w:rsidRPr="0014337C">
        <w:rPr>
          <w:vertAlign w:val="subscript"/>
          <w:lang w:eastAsia="ko-KR"/>
        </w:rPr>
        <w:t>search</w:t>
      </w:r>
      <w:r w:rsidRPr="0014337C">
        <w:rPr>
          <w:lang w:eastAsia="ko-KR"/>
        </w:rPr>
        <w:t xml:space="preserve"> = </w:t>
      </w:r>
      <w:r>
        <w:rPr>
          <w:lang w:eastAsia="zh-CN"/>
        </w:rPr>
        <w:t>24</w:t>
      </w:r>
      <w:r w:rsidRPr="009D2DAC">
        <w:rPr>
          <w:lang w:eastAsia="ko-KR"/>
        </w:rPr>
        <w:t>*</w:t>
      </w:r>
      <w:r w:rsidRPr="00BB13E4">
        <w:rPr>
          <w:rFonts w:cs="v4.2.0"/>
          <w:lang w:eastAsia="zh-CN"/>
        </w:rPr>
        <w:t xml:space="preserve"> Trs</w:t>
      </w:r>
      <w:r w:rsidRPr="009D2DAC">
        <w:rPr>
          <w:lang w:eastAsia="ko-KR"/>
        </w:rPr>
        <w:t xml:space="preserve"> m</w:t>
      </w:r>
      <w:r w:rsidRPr="0014337C">
        <w:rPr>
          <w:lang w:eastAsia="ko-KR"/>
        </w:rPr>
        <w:t>s.</w:t>
      </w:r>
    </w:p>
    <w:bookmarkEnd w:id="6"/>
    <w:p w14:paraId="1E216516" w14:textId="4854E2D9" w:rsidR="00F84F26" w:rsidRDefault="00F84F26" w:rsidP="00F84F26">
      <w:pPr>
        <w:ind w:right="-22"/>
      </w:pPr>
      <w:r>
        <w:t>Proposal</w:t>
      </w:r>
      <w:r w:rsidR="00D1356A">
        <w:t>s</w:t>
      </w:r>
      <w:r>
        <w:t xml:space="preserve"> </w:t>
      </w:r>
      <w:r w:rsidR="00D1356A">
        <w:t>are</w:t>
      </w:r>
      <w:r>
        <w:t xml:space="preserve"> included in our CR [</w:t>
      </w:r>
      <w:r w:rsidR="00AE56DA">
        <w:t>3</w:t>
      </w:r>
      <w:r>
        <w:t xml:space="preserve">]. </w:t>
      </w:r>
    </w:p>
    <w:p w14:paraId="46450EC7" w14:textId="77777777" w:rsidR="00356D28" w:rsidRDefault="00356D28" w:rsidP="00F84F26">
      <w:pPr>
        <w:ind w:right="-22"/>
      </w:pPr>
    </w:p>
    <w:bookmarkEnd w:id="3"/>
    <w:p w14:paraId="1165FF0B" w14:textId="77777777" w:rsidR="00CD7492" w:rsidRDefault="00CD7492" w:rsidP="00A37002">
      <w:pPr>
        <w:pStyle w:val="RAN4H1"/>
      </w:pPr>
      <w:r w:rsidRPr="00A37002">
        <w:t>Conclusion</w:t>
      </w:r>
    </w:p>
    <w:p w14:paraId="10F61520" w14:textId="5EC00F27" w:rsidR="003A294F" w:rsidRPr="003A294F" w:rsidRDefault="003A294F" w:rsidP="003A294F">
      <w:pPr>
        <w:rPr>
          <w:lang w:val="en-GB"/>
        </w:rPr>
      </w:pPr>
      <w:r w:rsidRPr="003A294F">
        <w:rPr>
          <w:lang w:val="en-GB"/>
        </w:rPr>
        <w:t>In this contribution we have discussed</w:t>
      </w:r>
      <w:r w:rsidR="00B41109">
        <w:rPr>
          <w:lang w:val="en-GB"/>
        </w:rPr>
        <w:t xml:space="preserve"> </w:t>
      </w:r>
      <w:r w:rsidR="00CB47BC">
        <w:rPr>
          <w:lang w:val="en-GB"/>
        </w:rPr>
        <w:t xml:space="preserve">NR </w:t>
      </w:r>
      <w:r w:rsidR="00DE48E9">
        <w:rPr>
          <w:lang w:val="en-GB"/>
        </w:rPr>
        <w:t>PSC</w:t>
      </w:r>
      <w:r w:rsidR="00CB47BC">
        <w:rPr>
          <w:lang w:val="en-GB"/>
        </w:rPr>
        <w:t xml:space="preserve">ell known condition </w:t>
      </w:r>
      <w:r w:rsidR="00A2740E">
        <w:rPr>
          <w:lang w:val="en-GB"/>
        </w:rPr>
        <w:t xml:space="preserve">and PSCell addition delay </w:t>
      </w:r>
      <w:r w:rsidR="00CB47BC">
        <w:rPr>
          <w:lang w:val="en-GB"/>
        </w:rPr>
        <w:t>in FR2</w:t>
      </w:r>
      <w:r w:rsidR="00B41109">
        <w:rPr>
          <w:lang w:val="en-GB"/>
        </w:rPr>
        <w:t>.</w:t>
      </w:r>
      <w:r w:rsidRPr="003A294F">
        <w:rPr>
          <w:lang w:val="en-GB"/>
        </w:rPr>
        <w:t xml:space="preserve"> We have made the following p</w:t>
      </w:r>
      <w:r w:rsidR="002910C4">
        <w:rPr>
          <w:lang w:val="en-GB"/>
        </w:rPr>
        <w:t>roposals</w:t>
      </w:r>
      <w:r w:rsidRPr="003A294F">
        <w:rPr>
          <w:lang w:val="en-GB"/>
        </w:rPr>
        <w:t>:</w:t>
      </w:r>
    </w:p>
    <w:p w14:paraId="269BFCA1" w14:textId="79C21AE8" w:rsidR="00B14D72" w:rsidRDefault="00B14D72" w:rsidP="00CB47BC">
      <w:pPr>
        <w:pStyle w:val="RAN4proposal"/>
        <w:numPr>
          <w:ilvl w:val="0"/>
          <w:numId w:val="35"/>
        </w:numPr>
      </w:pPr>
      <w:r w:rsidRPr="007B5A74">
        <w:t xml:space="preserve">NR </w:t>
      </w:r>
      <w:r w:rsidR="00CB47BC">
        <w:t>c</w:t>
      </w:r>
      <w:r w:rsidRPr="007B5A74">
        <w:t>ell known condition in FR2 could be</w:t>
      </w:r>
      <w:r>
        <w:t xml:space="preserve"> the same as FR1.</w:t>
      </w:r>
    </w:p>
    <w:p w14:paraId="5BDA0ADE" w14:textId="77777777" w:rsidR="00A2740E" w:rsidRDefault="00A2740E" w:rsidP="00A2740E">
      <w:pPr>
        <w:pStyle w:val="RAN4proposal"/>
        <w:numPr>
          <w:ilvl w:val="0"/>
          <w:numId w:val="35"/>
        </w:numPr>
      </w:pPr>
      <w:r>
        <w:t>NR PSCell addition delay in FR2 could be:</w:t>
      </w:r>
    </w:p>
    <w:p w14:paraId="56DFDA7D" w14:textId="17789CF6" w:rsidR="00A2740E" w:rsidRDefault="00A2740E" w:rsidP="00A2740E">
      <w:pPr>
        <w:pStyle w:val="RAN4proposal"/>
        <w:numPr>
          <w:ilvl w:val="0"/>
          <w:numId w:val="0"/>
        </w:numPr>
        <w:ind w:left="360" w:hanging="360"/>
        <w:rPr>
          <w:lang w:eastAsia="ko-KR"/>
        </w:rPr>
      </w:pPr>
      <w:r w:rsidRPr="007B1FF8">
        <w:rPr>
          <w:lang w:eastAsia="ko-KR"/>
        </w:rPr>
        <w:t>-</w:t>
      </w:r>
      <w:r w:rsidRPr="007B1FF8">
        <w:rPr>
          <w:lang w:eastAsia="ko-KR"/>
        </w:rPr>
        <w:tab/>
      </w:r>
      <w:r w:rsidRPr="0014337C">
        <w:rPr>
          <w:lang w:eastAsia="ko-KR"/>
        </w:rPr>
        <w:t xml:space="preserve">For </w:t>
      </w:r>
      <w:r>
        <w:rPr>
          <w:lang w:eastAsia="ko-KR"/>
        </w:rPr>
        <w:t xml:space="preserve">NR </w:t>
      </w:r>
      <w:r w:rsidRPr="0014337C">
        <w:rPr>
          <w:lang w:eastAsia="ko-KR"/>
        </w:rPr>
        <w:t xml:space="preserve">PSCell in FR2: </w:t>
      </w:r>
      <w:r>
        <w:rPr>
          <w:lang w:eastAsia="ko-KR"/>
        </w:rPr>
        <w:t>i</w:t>
      </w:r>
      <w:r w:rsidRPr="0014337C">
        <w:rPr>
          <w:lang w:eastAsia="ko-KR"/>
        </w:rPr>
        <w:t xml:space="preserve">f the target cell is </w:t>
      </w:r>
      <w:r>
        <w:rPr>
          <w:lang w:eastAsia="ko-KR"/>
        </w:rPr>
        <w:t>known, then T</w:t>
      </w:r>
      <w:r w:rsidRPr="00A2740E">
        <w:rPr>
          <w:vertAlign w:val="subscript"/>
          <w:lang w:eastAsia="ko-KR"/>
        </w:rPr>
        <w:t>search</w:t>
      </w:r>
      <w:r>
        <w:rPr>
          <w:lang w:eastAsia="ko-KR"/>
        </w:rPr>
        <w:t xml:space="preserve"> = </w:t>
      </w:r>
      <w:r w:rsidR="009C62D4">
        <w:rPr>
          <w:lang w:eastAsia="ko-KR"/>
        </w:rPr>
        <w:t>0</w:t>
      </w:r>
      <w:r>
        <w:rPr>
          <w:lang w:eastAsia="ko-KR"/>
        </w:rPr>
        <w:t xml:space="preserve"> ms. If the target cell is an unknown </w:t>
      </w:r>
      <w:r w:rsidRPr="0014337C">
        <w:rPr>
          <w:lang w:eastAsia="ko-KR"/>
        </w:rPr>
        <w:t>cell and signal quality is sufficie</w:t>
      </w:r>
      <w:r w:rsidR="004714A8">
        <w:rPr>
          <w:lang w:eastAsia="ko-KR"/>
        </w:rPr>
        <w:t>nt for successful cell detection</w:t>
      </w:r>
      <w:r w:rsidRPr="0014337C">
        <w:rPr>
          <w:lang w:eastAsia="ko-KR"/>
        </w:rPr>
        <w:t>, then T</w:t>
      </w:r>
      <w:r w:rsidRPr="0014337C">
        <w:rPr>
          <w:vertAlign w:val="subscript"/>
          <w:lang w:eastAsia="ko-KR"/>
        </w:rPr>
        <w:t>search</w:t>
      </w:r>
      <w:r w:rsidRPr="0014337C">
        <w:rPr>
          <w:lang w:eastAsia="ko-KR"/>
        </w:rPr>
        <w:t xml:space="preserve"> = </w:t>
      </w:r>
      <w:r>
        <w:rPr>
          <w:lang w:eastAsia="zh-CN"/>
        </w:rPr>
        <w:t>24</w:t>
      </w:r>
      <w:r w:rsidRPr="009D2DAC">
        <w:rPr>
          <w:lang w:eastAsia="ko-KR"/>
        </w:rPr>
        <w:t>*</w:t>
      </w:r>
      <w:r w:rsidRPr="00BB13E4">
        <w:rPr>
          <w:rFonts w:cs="v4.2.0"/>
          <w:lang w:eastAsia="zh-CN"/>
        </w:rPr>
        <w:t xml:space="preserve"> Trs</w:t>
      </w:r>
      <w:r w:rsidRPr="009D2DAC">
        <w:rPr>
          <w:lang w:eastAsia="ko-KR"/>
        </w:rPr>
        <w:t xml:space="preserve"> m</w:t>
      </w:r>
      <w:r w:rsidRPr="0014337C">
        <w:rPr>
          <w:lang w:eastAsia="ko-KR"/>
        </w:rPr>
        <w:t>s.</w:t>
      </w:r>
    </w:p>
    <w:p w14:paraId="4E460B4B" w14:textId="68707D8C" w:rsidR="00FC6AE6" w:rsidRPr="00FC6AE6" w:rsidRDefault="00FC6AE6" w:rsidP="00FC6AE6">
      <w:pPr>
        <w:rPr>
          <w:lang w:eastAsia="zh-CN"/>
        </w:rPr>
      </w:pPr>
    </w:p>
    <w:p w14:paraId="064A8061" w14:textId="77777777" w:rsidR="003B659E" w:rsidRPr="0095295C" w:rsidRDefault="003B659E" w:rsidP="0008612A">
      <w:pPr>
        <w:pStyle w:val="RAN4H1"/>
      </w:pPr>
      <w:r w:rsidRPr="0095295C">
        <w:t>References</w:t>
      </w:r>
    </w:p>
    <w:p w14:paraId="4B8E0118" w14:textId="2CF19494" w:rsidR="003A20CC" w:rsidRDefault="00C91FEB" w:rsidP="00A2740E">
      <w:pPr>
        <w:pStyle w:val="ListParagraph"/>
        <w:numPr>
          <w:ilvl w:val="0"/>
          <w:numId w:val="1"/>
        </w:numPr>
        <w:rPr>
          <w:rFonts w:eastAsia="Times New Roman" w:cs="Times New Roman"/>
          <w:szCs w:val="20"/>
          <w:lang w:val="en-GB"/>
        </w:rPr>
      </w:pPr>
      <w:r w:rsidRPr="00D45EC9">
        <w:rPr>
          <w:rFonts w:eastAsia="Times New Roman" w:cs="Times New Roman"/>
          <w:szCs w:val="20"/>
          <w:lang w:val="en-GB"/>
        </w:rPr>
        <w:t>3GPP TS 3</w:t>
      </w:r>
      <w:r w:rsidR="00833A2C">
        <w:rPr>
          <w:rFonts w:eastAsia="Times New Roman" w:cs="Times New Roman"/>
          <w:szCs w:val="20"/>
          <w:lang w:val="en-GB"/>
        </w:rPr>
        <w:t>6</w:t>
      </w:r>
      <w:r w:rsidRPr="00D45EC9">
        <w:rPr>
          <w:rFonts w:eastAsia="Times New Roman" w:cs="Times New Roman"/>
          <w:szCs w:val="20"/>
          <w:lang w:val="en-GB"/>
        </w:rPr>
        <w:t>.133 v15.</w:t>
      </w:r>
      <w:r w:rsidR="00761CD8">
        <w:rPr>
          <w:rFonts w:eastAsia="Times New Roman" w:cs="Times New Roman"/>
          <w:szCs w:val="20"/>
          <w:lang w:val="en-GB"/>
        </w:rPr>
        <w:t>4</w:t>
      </w:r>
      <w:r>
        <w:rPr>
          <w:rFonts w:eastAsia="Times New Roman" w:cs="Times New Roman"/>
          <w:szCs w:val="20"/>
          <w:lang w:val="en-GB"/>
        </w:rPr>
        <w:t>.</w:t>
      </w:r>
      <w:r w:rsidR="00833A2C">
        <w:rPr>
          <w:rFonts w:eastAsia="Times New Roman" w:cs="Times New Roman"/>
          <w:szCs w:val="20"/>
          <w:lang w:val="en-GB"/>
        </w:rPr>
        <w:t>0</w:t>
      </w:r>
    </w:p>
    <w:p w14:paraId="4ADDAB16" w14:textId="1F7EA455" w:rsidR="00AE56DA" w:rsidRPr="00AE56DA" w:rsidRDefault="00AE56DA" w:rsidP="00AE56DA">
      <w:pPr>
        <w:pStyle w:val="ListParagraph"/>
        <w:numPr>
          <w:ilvl w:val="0"/>
          <w:numId w:val="1"/>
        </w:numPr>
        <w:ind w:right="-22"/>
      </w:pPr>
      <w:r>
        <w:lastRenderedPageBreak/>
        <w:t>R4.1815430, UE RRM measurements and averaging in FR2, Nokia, Nokia Shanghai Bell, 3GPP TSG-RAN WG4 Meeting #89, Spokane, US, 12 - 16 November 2018.</w:t>
      </w:r>
    </w:p>
    <w:p w14:paraId="0EBBE63A" w14:textId="69507F03" w:rsidR="00677E9C" w:rsidRPr="003A294F" w:rsidRDefault="00677E9C" w:rsidP="00A2740E">
      <w:pPr>
        <w:pStyle w:val="ListParagraph"/>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A20CC">
        <w:rPr>
          <w:rFonts w:eastAsia="Times New Roman" w:cs="Times New Roman"/>
          <w:szCs w:val="20"/>
          <w:lang w:val="en-GB"/>
        </w:rPr>
        <w:t>R4-18</w:t>
      </w:r>
      <w:r w:rsidR="002209EC">
        <w:rPr>
          <w:rFonts w:eastAsia="Times New Roman" w:cs="Times New Roman"/>
          <w:szCs w:val="20"/>
          <w:lang w:val="en-GB"/>
        </w:rPr>
        <w:t>15855</w:t>
      </w:r>
      <w:r w:rsidRPr="003A20CC">
        <w:rPr>
          <w:rFonts w:eastAsia="Times New Roman" w:cs="Times New Roman"/>
          <w:szCs w:val="20"/>
          <w:lang w:val="en-GB"/>
        </w:rPr>
        <w:t xml:space="preserve">, CR </w:t>
      </w:r>
      <w:r w:rsidR="00F376C8" w:rsidRPr="003A20CC">
        <w:rPr>
          <w:rFonts w:eastAsia="Times New Roman" w:cs="Times New Roman"/>
          <w:szCs w:val="20"/>
          <w:lang w:val="en-GB"/>
        </w:rPr>
        <w:t>on</w:t>
      </w:r>
      <w:r w:rsidRPr="003A20CC">
        <w:rPr>
          <w:rFonts w:eastAsia="Times New Roman" w:cs="Times New Roman"/>
          <w:szCs w:val="20"/>
          <w:lang w:val="en-GB"/>
        </w:rPr>
        <w:t xml:space="preserve"> NR </w:t>
      </w:r>
      <w:r w:rsidR="00011B06" w:rsidRPr="003A20CC">
        <w:rPr>
          <w:rFonts w:eastAsia="Times New Roman" w:cs="Times New Roman"/>
          <w:szCs w:val="20"/>
          <w:lang w:val="en-GB"/>
        </w:rPr>
        <w:t>P</w:t>
      </w:r>
      <w:r w:rsidRPr="003A20CC">
        <w:rPr>
          <w:rFonts w:eastAsia="Times New Roman" w:cs="Times New Roman"/>
          <w:szCs w:val="20"/>
          <w:lang w:val="en-GB"/>
        </w:rPr>
        <w:t>S</w:t>
      </w:r>
      <w:r w:rsidR="00D1086E" w:rsidRPr="003A20CC">
        <w:rPr>
          <w:rFonts w:eastAsia="Times New Roman" w:cs="Times New Roman"/>
          <w:szCs w:val="20"/>
          <w:lang w:val="en-GB"/>
        </w:rPr>
        <w:t>C</w:t>
      </w:r>
      <w:r w:rsidRPr="003A20CC">
        <w:rPr>
          <w:rFonts w:eastAsia="Times New Roman" w:cs="Times New Roman"/>
          <w:szCs w:val="20"/>
          <w:lang w:val="en-GB"/>
        </w:rPr>
        <w:t xml:space="preserve">ell </w:t>
      </w:r>
      <w:r w:rsidR="00011B06" w:rsidRPr="003A20CC">
        <w:rPr>
          <w:rFonts w:eastAsia="Times New Roman" w:cs="Times New Roman"/>
          <w:szCs w:val="20"/>
          <w:lang w:val="en-GB"/>
        </w:rPr>
        <w:t>addition</w:t>
      </w:r>
      <w:r w:rsidRPr="003A20CC">
        <w:rPr>
          <w:rFonts w:eastAsia="Times New Roman" w:cs="Times New Roman"/>
          <w:szCs w:val="20"/>
          <w:lang w:val="en-GB"/>
        </w:rPr>
        <w:t>, Nokia, Nokia Shanghai Bell</w:t>
      </w:r>
      <w:r w:rsidR="00AE56DA">
        <w:t>, 3GPP TSG-RAN WG4 Meeting #89, Spokane, US, 12 - 16 November 2018.</w:t>
      </w:r>
    </w:p>
    <w:p w14:paraId="597BF086" w14:textId="77777777" w:rsidR="003A294F" w:rsidRPr="00A54626" w:rsidRDefault="003A294F" w:rsidP="003A294F">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02C71A07"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0686D" w14:textId="77777777" w:rsidR="007D002D" w:rsidRDefault="007D002D" w:rsidP="00001C9B">
      <w:pPr>
        <w:spacing w:after="0" w:line="240" w:lineRule="auto"/>
      </w:pPr>
      <w:r>
        <w:separator/>
      </w:r>
    </w:p>
  </w:endnote>
  <w:endnote w:type="continuationSeparator" w:id="0">
    <w:p w14:paraId="68C9EAA0" w14:textId="77777777" w:rsidR="007D002D" w:rsidRDefault="007D002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5CFDD" w14:textId="77777777" w:rsidR="007D002D" w:rsidRDefault="007D002D" w:rsidP="00001C9B">
      <w:pPr>
        <w:spacing w:after="0" w:line="240" w:lineRule="auto"/>
      </w:pPr>
      <w:r>
        <w:separator/>
      </w:r>
    </w:p>
  </w:footnote>
  <w:footnote w:type="continuationSeparator" w:id="0">
    <w:p w14:paraId="6D104590" w14:textId="77777777" w:rsidR="007D002D" w:rsidRDefault="007D002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562811"/>
    <w:multiLevelType w:val="hybridMultilevel"/>
    <w:tmpl w:val="ADE00E9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3B4F92"/>
    <w:multiLevelType w:val="hybridMultilevel"/>
    <w:tmpl w:val="9AFAF540"/>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5C23AD"/>
    <w:multiLevelType w:val="hybridMultilevel"/>
    <w:tmpl w:val="19E23F0E"/>
    <w:lvl w:ilvl="0" w:tplc="6A28F3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B49EE"/>
    <w:multiLevelType w:val="hybridMultilevel"/>
    <w:tmpl w:val="EB50F58E"/>
    <w:lvl w:ilvl="0" w:tplc="42926BB6">
      <w:start w:val="1"/>
      <w:numFmt w:val="bullet"/>
      <w:lvlText w:val="•"/>
      <w:lvlJc w:val="left"/>
      <w:pPr>
        <w:tabs>
          <w:tab w:val="num" w:pos="720"/>
        </w:tabs>
        <w:ind w:left="720" w:hanging="360"/>
      </w:pPr>
      <w:rPr>
        <w:rFonts w:ascii="Arial" w:hAnsi="Arial" w:hint="default"/>
      </w:rPr>
    </w:lvl>
    <w:lvl w:ilvl="1" w:tplc="89B2DFA8">
      <w:numFmt w:val="bullet"/>
      <w:lvlText w:val="•"/>
      <w:lvlJc w:val="left"/>
      <w:pPr>
        <w:tabs>
          <w:tab w:val="num" w:pos="1440"/>
        </w:tabs>
        <w:ind w:left="1440" w:hanging="360"/>
      </w:pPr>
      <w:rPr>
        <w:rFonts w:ascii="Arial" w:hAnsi="Arial" w:hint="default"/>
      </w:rPr>
    </w:lvl>
    <w:lvl w:ilvl="2" w:tplc="BF12A8F8">
      <w:numFmt w:val="bullet"/>
      <w:lvlText w:val="•"/>
      <w:lvlJc w:val="left"/>
      <w:pPr>
        <w:tabs>
          <w:tab w:val="num" w:pos="2160"/>
        </w:tabs>
        <w:ind w:left="2160" w:hanging="360"/>
      </w:pPr>
      <w:rPr>
        <w:rFonts w:ascii="Arial" w:hAnsi="Arial" w:hint="default"/>
      </w:rPr>
    </w:lvl>
    <w:lvl w:ilvl="3" w:tplc="CA9C7808">
      <w:start w:val="1"/>
      <w:numFmt w:val="bullet"/>
      <w:lvlText w:val="•"/>
      <w:lvlJc w:val="left"/>
      <w:pPr>
        <w:tabs>
          <w:tab w:val="num" w:pos="2880"/>
        </w:tabs>
        <w:ind w:left="2880" w:hanging="360"/>
      </w:pPr>
      <w:rPr>
        <w:rFonts w:ascii="Arial" w:hAnsi="Arial" w:hint="default"/>
      </w:rPr>
    </w:lvl>
    <w:lvl w:ilvl="4" w:tplc="4EA6AFCC" w:tentative="1">
      <w:start w:val="1"/>
      <w:numFmt w:val="bullet"/>
      <w:lvlText w:val="•"/>
      <w:lvlJc w:val="left"/>
      <w:pPr>
        <w:tabs>
          <w:tab w:val="num" w:pos="3600"/>
        </w:tabs>
        <w:ind w:left="3600" w:hanging="360"/>
      </w:pPr>
      <w:rPr>
        <w:rFonts w:ascii="Arial" w:hAnsi="Arial" w:hint="default"/>
      </w:rPr>
    </w:lvl>
    <w:lvl w:ilvl="5" w:tplc="D09C7644" w:tentative="1">
      <w:start w:val="1"/>
      <w:numFmt w:val="bullet"/>
      <w:lvlText w:val="•"/>
      <w:lvlJc w:val="left"/>
      <w:pPr>
        <w:tabs>
          <w:tab w:val="num" w:pos="4320"/>
        </w:tabs>
        <w:ind w:left="4320" w:hanging="360"/>
      </w:pPr>
      <w:rPr>
        <w:rFonts w:ascii="Arial" w:hAnsi="Arial" w:hint="default"/>
      </w:rPr>
    </w:lvl>
    <w:lvl w:ilvl="6" w:tplc="B1941D4E" w:tentative="1">
      <w:start w:val="1"/>
      <w:numFmt w:val="bullet"/>
      <w:lvlText w:val="•"/>
      <w:lvlJc w:val="left"/>
      <w:pPr>
        <w:tabs>
          <w:tab w:val="num" w:pos="5040"/>
        </w:tabs>
        <w:ind w:left="5040" w:hanging="360"/>
      </w:pPr>
      <w:rPr>
        <w:rFonts w:ascii="Arial" w:hAnsi="Arial" w:hint="default"/>
      </w:rPr>
    </w:lvl>
    <w:lvl w:ilvl="7" w:tplc="BD5AABF8" w:tentative="1">
      <w:start w:val="1"/>
      <w:numFmt w:val="bullet"/>
      <w:lvlText w:val="•"/>
      <w:lvlJc w:val="left"/>
      <w:pPr>
        <w:tabs>
          <w:tab w:val="num" w:pos="5760"/>
        </w:tabs>
        <w:ind w:left="5760" w:hanging="360"/>
      </w:pPr>
      <w:rPr>
        <w:rFonts w:ascii="Arial" w:hAnsi="Arial" w:hint="default"/>
      </w:rPr>
    </w:lvl>
    <w:lvl w:ilvl="8" w:tplc="D24663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F51567"/>
    <w:multiLevelType w:val="hybridMultilevel"/>
    <w:tmpl w:val="A8A09A58"/>
    <w:lvl w:ilvl="0" w:tplc="3A2617AC">
      <w:start w:val="8"/>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F1C8A"/>
    <w:multiLevelType w:val="hybridMultilevel"/>
    <w:tmpl w:val="117AF22E"/>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31D221B"/>
    <w:multiLevelType w:val="hybridMultilevel"/>
    <w:tmpl w:val="94B0A2FE"/>
    <w:lvl w:ilvl="0" w:tplc="31586B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276C17"/>
    <w:multiLevelType w:val="hybridMultilevel"/>
    <w:tmpl w:val="F8769428"/>
    <w:lvl w:ilvl="0" w:tplc="5B44CB08">
      <w:start w:val="2"/>
      <w:numFmt w:val="bullet"/>
      <w:lvlText w:val="-"/>
      <w:lvlJc w:val="left"/>
      <w:pPr>
        <w:ind w:left="1272" w:hanging="420"/>
      </w:pPr>
      <w:rPr>
        <w:rFonts w:ascii="Times New Roman" w:eastAsia="Calibri"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3D0C626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A32AF9"/>
    <w:multiLevelType w:val="hybridMultilevel"/>
    <w:tmpl w:val="896EB182"/>
    <w:lvl w:ilvl="0" w:tplc="60E6B20E">
      <w:start w:val="1"/>
      <w:numFmt w:val="bullet"/>
      <w:lvlText w:val="•"/>
      <w:lvlJc w:val="left"/>
      <w:pPr>
        <w:tabs>
          <w:tab w:val="num" w:pos="720"/>
        </w:tabs>
        <w:ind w:left="720" w:hanging="360"/>
      </w:pPr>
      <w:rPr>
        <w:rFonts w:ascii="Arial" w:hAnsi="Arial" w:hint="default"/>
      </w:rPr>
    </w:lvl>
    <w:lvl w:ilvl="1" w:tplc="357E99A0">
      <w:numFmt w:val="bullet"/>
      <w:lvlText w:val="•"/>
      <w:lvlJc w:val="left"/>
      <w:pPr>
        <w:tabs>
          <w:tab w:val="num" w:pos="1440"/>
        </w:tabs>
        <w:ind w:left="1440" w:hanging="360"/>
      </w:pPr>
      <w:rPr>
        <w:rFonts w:ascii="Arial" w:hAnsi="Arial" w:hint="default"/>
      </w:rPr>
    </w:lvl>
    <w:lvl w:ilvl="2" w:tplc="0464EAE8">
      <w:numFmt w:val="bullet"/>
      <w:lvlText w:val="•"/>
      <w:lvlJc w:val="left"/>
      <w:pPr>
        <w:tabs>
          <w:tab w:val="num" w:pos="2160"/>
        </w:tabs>
        <w:ind w:left="2160" w:hanging="360"/>
      </w:pPr>
      <w:rPr>
        <w:rFonts w:ascii="Arial" w:hAnsi="Arial" w:hint="default"/>
      </w:rPr>
    </w:lvl>
    <w:lvl w:ilvl="3" w:tplc="849240DC">
      <w:numFmt w:val="bullet"/>
      <w:lvlText w:val="•"/>
      <w:lvlJc w:val="left"/>
      <w:pPr>
        <w:tabs>
          <w:tab w:val="num" w:pos="2880"/>
        </w:tabs>
        <w:ind w:left="2880" w:hanging="360"/>
      </w:pPr>
      <w:rPr>
        <w:rFonts w:ascii="Arial" w:hAnsi="Arial" w:hint="default"/>
      </w:rPr>
    </w:lvl>
    <w:lvl w:ilvl="4" w:tplc="C00AEE7A" w:tentative="1">
      <w:start w:val="1"/>
      <w:numFmt w:val="bullet"/>
      <w:lvlText w:val="•"/>
      <w:lvlJc w:val="left"/>
      <w:pPr>
        <w:tabs>
          <w:tab w:val="num" w:pos="3600"/>
        </w:tabs>
        <w:ind w:left="3600" w:hanging="360"/>
      </w:pPr>
      <w:rPr>
        <w:rFonts w:ascii="Arial" w:hAnsi="Arial" w:hint="default"/>
      </w:rPr>
    </w:lvl>
    <w:lvl w:ilvl="5" w:tplc="7C6CAE62" w:tentative="1">
      <w:start w:val="1"/>
      <w:numFmt w:val="bullet"/>
      <w:lvlText w:val="•"/>
      <w:lvlJc w:val="left"/>
      <w:pPr>
        <w:tabs>
          <w:tab w:val="num" w:pos="4320"/>
        </w:tabs>
        <w:ind w:left="4320" w:hanging="360"/>
      </w:pPr>
      <w:rPr>
        <w:rFonts w:ascii="Arial" w:hAnsi="Arial" w:hint="default"/>
      </w:rPr>
    </w:lvl>
    <w:lvl w:ilvl="6" w:tplc="7ABA91B2" w:tentative="1">
      <w:start w:val="1"/>
      <w:numFmt w:val="bullet"/>
      <w:lvlText w:val="•"/>
      <w:lvlJc w:val="left"/>
      <w:pPr>
        <w:tabs>
          <w:tab w:val="num" w:pos="5040"/>
        </w:tabs>
        <w:ind w:left="5040" w:hanging="360"/>
      </w:pPr>
      <w:rPr>
        <w:rFonts w:ascii="Arial" w:hAnsi="Arial" w:hint="default"/>
      </w:rPr>
    </w:lvl>
    <w:lvl w:ilvl="7" w:tplc="DD5A6E00" w:tentative="1">
      <w:start w:val="1"/>
      <w:numFmt w:val="bullet"/>
      <w:lvlText w:val="•"/>
      <w:lvlJc w:val="left"/>
      <w:pPr>
        <w:tabs>
          <w:tab w:val="num" w:pos="5760"/>
        </w:tabs>
        <w:ind w:left="5760" w:hanging="360"/>
      </w:pPr>
      <w:rPr>
        <w:rFonts w:ascii="Arial" w:hAnsi="Arial" w:hint="default"/>
      </w:rPr>
    </w:lvl>
    <w:lvl w:ilvl="8" w:tplc="570247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477AC5"/>
    <w:multiLevelType w:val="hybridMultilevel"/>
    <w:tmpl w:val="22A6C170"/>
    <w:lvl w:ilvl="0" w:tplc="3970EAC0">
      <w:numFmt w:val="bullet"/>
      <w:lvlText w:val="•"/>
      <w:lvlJc w:val="left"/>
      <w:pPr>
        <w:ind w:left="420" w:hanging="420"/>
      </w:pPr>
      <w:rPr>
        <w:rFonts w:ascii="Nokia Pure Text Light" w:hAnsi="Nokia Pure Text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F21D7D"/>
    <w:multiLevelType w:val="hybridMultilevel"/>
    <w:tmpl w:val="EE0257F0"/>
    <w:lvl w:ilvl="0" w:tplc="3A2617AC">
      <w:start w:val="8"/>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1E65DE2"/>
    <w:multiLevelType w:val="hybridMultilevel"/>
    <w:tmpl w:val="ADE00E9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68067E"/>
    <w:multiLevelType w:val="hybridMultilevel"/>
    <w:tmpl w:val="6BF87AA4"/>
    <w:lvl w:ilvl="0" w:tplc="70980BA0">
      <w:start w:val="1"/>
      <w:numFmt w:val="bullet"/>
      <w:lvlText w:val="•"/>
      <w:lvlJc w:val="left"/>
      <w:pPr>
        <w:tabs>
          <w:tab w:val="num" w:pos="720"/>
        </w:tabs>
        <w:ind w:left="720" w:hanging="360"/>
      </w:pPr>
      <w:rPr>
        <w:rFonts w:ascii="Arial" w:hAnsi="Arial" w:hint="default"/>
      </w:rPr>
    </w:lvl>
    <w:lvl w:ilvl="1" w:tplc="4DC865F8">
      <w:numFmt w:val="bullet"/>
      <w:lvlText w:val="•"/>
      <w:lvlJc w:val="left"/>
      <w:pPr>
        <w:tabs>
          <w:tab w:val="num" w:pos="1440"/>
        </w:tabs>
        <w:ind w:left="1440" w:hanging="360"/>
      </w:pPr>
      <w:rPr>
        <w:rFonts w:ascii="Arial" w:hAnsi="Arial" w:hint="default"/>
      </w:rPr>
    </w:lvl>
    <w:lvl w:ilvl="2" w:tplc="786C6236">
      <w:numFmt w:val="bullet"/>
      <w:lvlText w:val="•"/>
      <w:lvlJc w:val="left"/>
      <w:pPr>
        <w:tabs>
          <w:tab w:val="num" w:pos="2160"/>
        </w:tabs>
        <w:ind w:left="2160" w:hanging="360"/>
      </w:pPr>
      <w:rPr>
        <w:rFonts w:ascii="Arial" w:hAnsi="Arial" w:hint="default"/>
      </w:rPr>
    </w:lvl>
    <w:lvl w:ilvl="3" w:tplc="35C6573A" w:tentative="1">
      <w:start w:val="1"/>
      <w:numFmt w:val="bullet"/>
      <w:lvlText w:val="•"/>
      <w:lvlJc w:val="left"/>
      <w:pPr>
        <w:tabs>
          <w:tab w:val="num" w:pos="2880"/>
        </w:tabs>
        <w:ind w:left="2880" w:hanging="360"/>
      </w:pPr>
      <w:rPr>
        <w:rFonts w:ascii="Arial" w:hAnsi="Arial" w:hint="default"/>
      </w:rPr>
    </w:lvl>
    <w:lvl w:ilvl="4" w:tplc="D0607DA8" w:tentative="1">
      <w:start w:val="1"/>
      <w:numFmt w:val="bullet"/>
      <w:lvlText w:val="•"/>
      <w:lvlJc w:val="left"/>
      <w:pPr>
        <w:tabs>
          <w:tab w:val="num" w:pos="3600"/>
        </w:tabs>
        <w:ind w:left="3600" w:hanging="360"/>
      </w:pPr>
      <w:rPr>
        <w:rFonts w:ascii="Arial" w:hAnsi="Arial" w:hint="default"/>
      </w:rPr>
    </w:lvl>
    <w:lvl w:ilvl="5" w:tplc="2BA00ACA" w:tentative="1">
      <w:start w:val="1"/>
      <w:numFmt w:val="bullet"/>
      <w:lvlText w:val="•"/>
      <w:lvlJc w:val="left"/>
      <w:pPr>
        <w:tabs>
          <w:tab w:val="num" w:pos="4320"/>
        </w:tabs>
        <w:ind w:left="4320" w:hanging="360"/>
      </w:pPr>
      <w:rPr>
        <w:rFonts w:ascii="Arial" w:hAnsi="Arial" w:hint="default"/>
      </w:rPr>
    </w:lvl>
    <w:lvl w:ilvl="6" w:tplc="64FEF1E4" w:tentative="1">
      <w:start w:val="1"/>
      <w:numFmt w:val="bullet"/>
      <w:lvlText w:val="•"/>
      <w:lvlJc w:val="left"/>
      <w:pPr>
        <w:tabs>
          <w:tab w:val="num" w:pos="5040"/>
        </w:tabs>
        <w:ind w:left="5040" w:hanging="360"/>
      </w:pPr>
      <w:rPr>
        <w:rFonts w:ascii="Arial" w:hAnsi="Arial" w:hint="default"/>
      </w:rPr>
    </w:lvl>
    <w:lvl w:ilvl="7" w:tplc="7C8A246A" w:tentative="1">
      <w:start w:val="1"/>
      <w:numFmt w:val="bullet"/>
      <w:lvlText w:val="•"/>
      <w:lvlJc w:val="left"/>
      <w:pPr>
        <w:tabs>
          <w:tab w:val="num" w:pos="5760"/>
        </w:tabs>
        <w:ind w:left="5760" w:hanging="360"/>
      </w:pPr>
      <w:rPr>
        <w:rFonts w:ascii="Arial" w:hAnsi="Arial" w:hint="default"/>
      </w:rPr>
    </w:lvl>
    <w:lvl w:ilvl="8" w:tplc="82964AF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9"/>
  </w:num>
  <w:num w:numId="3">
    <w:abstractNumId w:val="16"/>
  </w:num>
  <w:num w:numId="4">
    <w:abstractNumId w:val="8"/>
  </w:num>
  <w:num w:numId="5">
    <w:abstractNumId w:val="21"/>
  </w:num>
  <w:num w:numId="6">
    <w:abstractNumId w:val="14"/>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4"/>
    <w:lvlOverride w:ilvl="0">
      <w:startOverride w:val="1"/>
    </w:lvlOverride>
  </w:num>
  <w:num w:numId="12">
    <w:abstractNumId w:val="15"/>
    <w:lvlOverride w:ilvl="0">
      <w:startOverride w:val="1"/>
    </w:lvlOverride>
  </w:num>
  <w:num w:numId="13">
    <w:abstractNumId w:val="14"/>
    <w:lvlOverride w:ilvl="0">
      <w:startOverride w:val="1"/>
    </w:lvlOverride>
  </w:num>
  <w:num w:numId="14">
    <w:abstractNumId w:val="15"/>
    <w:lvlOverride w:ilvl="0">
      <w:startOverride w:val="1"/>
    </w:lvlOverride>
  </w:num>
  <w:num w:numId="15">
    <w:abstractNumId w:val="23"/>
  </w:num>
  <w:num w:numId="16">
    <w:abstractNumId w:val="6"/>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5"/>
    <w:lvlOverride w:ilvl="0">
      <w:startOverride w:val="1"/>
    </w:lvlOverride>
  </w:num>
  <w:num w:numId="22">
    <w:abstractNumId w:val="24"/>
  </w:num>
  <w:num w:numId="23">
    <w:abstractNumId w:val="5"/>
  </w:num>
  <w:num w:numId="24">
    <w:abstractNumId w:val="12"/>
  </w:num>
  <w:num w:numId="25">
    <w:abstractNumId w:val="10"/>
  </w:num>
  <w:num w:numId="26">
    <w:abstractNumId w:val="3"/>
  </w:num>
  <w:num w:numId="27">
    <w:abstractNumId w:val="15"/>
    <w:lvlOverride w:ilvl="0">
      <w:startOverride w:val="1"/>
    </w:lvlOverride>
  </w:num>
  <w:num w:numId="28">
    <w:abstractNumId w:val="17"/>
  </w:num>
  <w:num w:numId="29">
    <w:abstractNumId w:val="18"/>
  </w:num>
  <w:num w:numId="30">
    <w:abstractNumId w:val="15"/>
    <w:lvlOverride w:ilvl="0">
      <w:startOverride w:val="1"/>
    </w:lvlOverride>
  </w:num>
  <w:num w:numId="31">
    <w:abstractNumId w:val="20"/>
  </w:num>
  <w:num w:numId="32">
    <w:abstractNumId w:val="7"/>
  </w:num>
  <w:num w:numId="33">
    <w:abstractNumId w:val="15"/>
  </w:num>
  <w:num w:numId="34">
    <w:abstractNumId w:val="15"/>
  </w:num>
  <w:num w:numId="35">
    <w:abstractNumId w:val="15"/>
    <w:lvlOverride w:ilvl="0">
      <w:startOverride w:val="1"/>
    </w:lvlOverride>
  </w:num>
  <w:num w:numId="36">
    <w:abstractNumId w:val="11"/>
  </w:num>
  <w:num w:numId="37">
    <w:abstractNumId w:val="4"/>
  </w:num>
  <w:num w:numId="38">
    <w:abstractNumId w:val="1"/>
  </w:num>
  <w:num w:numId="39">
    <w:abstractNumId w:val="19"/>
  </w:num>
  <w:num w:numId="40">
    <w:abstractNumId w:val="19"/>
  </w:num>
  <w:num w:numId="41">
    <w:abstractNumId w:val="22"/>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1CF5"/>
    <w:rsid w:val="00006F40"/>
    <w:rsid w:val="00006F48"/>
    <w:rsid w:val="00011B06"/>
    <w:rsid w:val="00020D4D"/>
    <w:rsid w:val="00024229"/>
    <w:rsid w:val="000325BB"/>
    <w:rsid w:val="00043429"/>
    <w:rsid w:val="00047E06"/>
    <w:rsid w:val="00056089"/>
    <w:rsid w:val="000723D0"/>
    <w:rsid w:val="0008612A"/>
    <w:rsid w:val="00091F19"/>
    <w:rsid w:val="000B0056"/>
    <w:rsid w:val="000B4450"/>
    <w:rsid w:val="000C71FD"/>
    <w:rsid w:val="000D313E"/>
    <w:rsid w:val="000F41FD"/>
    <w:rsid w:val="0010177E"/>
    <w:rsid w:val="00104109"/>
    <w:rsid w:val="001073FC"/>
    <w:rsid w:val="00121FFE"/>
    <w:rsid w:val="00124077"/>
    <w:rsid w:val="0014592E"/>
    <w:rsid w:val="00145B9E"/>
    <w:rsid w:val="00162D39"/>
    <w:rsid w:val="001745F8"/>
    <w:rsid w:val="00176671"/>
    <w:rsid w:val="001837C5"/>
    <w:rsid w:val="001838CF"/>
    <w:rsid w:val="001959CB"/>
    <w:rsid w:val="001B3349"/>
    <w:rsid w:val="001C6E61"/>
    <w:rsid w:val="001D6FFA"/>
    <w:rsid w:val="001E30F6"/>
    <w:rsid w:val="001F6077"/>
    <w:rsid w:val="00202BCD"/>
    <w:rsid w:val="002045FA"/>
    <w:rsid w:val="00206659"/>
    <w:rsid w:val="00213EC9"/>
    <w:rsid w:val="002209EC"/>
    <w:rsid w:val="00225B99"/>
    <w:rsid w:val="00231ABE"/>
    <w:rsid w:val="00235EC5"/>
    <w:rsid w:val="00235F5C"/>
    <w:rsid w:val="00240E18"/>
    <w:rsid w:val="002479C9"/>
    <w:rsid w:val="002510F9"/>
    <w:rsid w:val="002618A0"/>
    <w:rsid w:val="00271492"/>
    <w:rsid w:val="00276392"/>
    <w:rsid w:val="00284D3F"/>
    <w:rsid w:val="002854D7"/>
    <w:rsid w:val="002870B3"/>
    <w:rsid w:val="002910C4"/>
    <w:rsid w:val="002950E5"/>
    <w:rsid w:val="00295A5A"/>
    <w:rsid w:val="00295B9C"/>
    <w:rsid w:val="002A023A"/>
    <w:rsid w:val="002A5B7C"/>
    <w:rsid w:val="002B4922"/>
    <w:rsid w:val="002B5D2B"/>
    <w:rsid w:val="002C2D19"/>
    <w:rsid w:val="002D10FA"/>
    <w:rsid w:val="002D4C55"/>
    <w:rsid w:val="002D6DC8"/>
    <w:rsid w:val="002D7A5F"/>
    <w:rsid w:val="002E30C6"/>
    <w:rsid w:val="002E32E7"/>
    <w:rsid w:val="002E7A06"/>
    <w:rsid w:val="002F30C6"/>
    <w:rsid w:val="002F7B6E"/>
    <w:rsid w:val="00356D28"/>
    <w:rsid w:val="003578B0"/>
    <w:rsid w:val="00364576"/>
    <w:rsid w:val="00372ACC"/>
    <w:rsid w:val="00382905"/>
    <w:rsid w:val="0038530B"/>
    <w:rsid w:val="003A20CC"/>
    <w:rsid w:val="003A294F"/>
    <w:rsid w:val="003A394D"/>
    <w:rsid w:val="003A4236"/>
    <w:rsid w:val="003A6AF6"/>
    <w:rsid w:val="003A7FBD"/>
    <w:rsid w:val="003B659E"/>
    <w:rsid w:val="003D2479"/>
    <w:rsid w:val="003D766C"/>
    <w:rsid w:val="003E3B0B"/>
    <w:rsid w:val="003F1814"/>
    <w:rsid w:val="003F30D4"/>
    <w:rsid w:val="00417AA0"/>
    <w:rsid w:val="00422828"/>
    <w:rsid w:val="00425413"/>
    <w:rsid w:val="004303B2"/>
    <w:rsid w:val="004327F2"/>
    <w:rsid w:val="00435C8A"/>
    <w:rsid w:val="0043750A"/>
    <w:rsid w:val="004430B4"/>
    <w:rsid w:val="00464417"/>
    <w:rsid w:val="0046674E"/>
    <w:rsid w:val="004714A8"/>
    <w:rsid w:val="0047588C"/>
    <w:rsid w:val="00477039"/>
    <w:rsid w:val="004A1E6B"/>
    <w:rsid w:val="004B255E"/>
    <w:rsid w:val="004B7B4A"/>
    <w:rsid w:val="004C2625"/>
    <w:rsid w:val="004C2E9D"/>
    <w:rsid w:val="004C5EBE"/>
    <w:rsid w:val="004D0203"/>
    <w:rsid w:val="004D05F9"/>
    <w:rsid w:val="004D08EC"/>
    <w:rsid w:val="004E475B"/>
    <w:rsid w:val="004E5E66"/>
    <w:rsid w:val="00502FF9"/>
    <w:rsid w:val="00503B4D"/>
    <w:rsid w:val="0050487D"/>
    <w:rsid w:val="00504EE9"/>
    <w:rsid w:val="0053671C"/>
    <w:rsid w:val="0054442C"/>
    <w:rsid w:val="00550285"/>
    <w:rsid w:val="005557B7"/>
    <w:rsid w:val="0056256E"/>
    <w:rsid w:val="00570FC4"/>
    <w:rsid w:val="005836F8"/>
    <w:rsid w:val="00586C4E"/>
    <w:rsid w:val="005918FA"/>
    <w:rsid w:val="005A2286"/>
    <w:rsid w:val="005B056F"/>
    <w:rsid w:val="005C1255"/>
    <w:rsid w:val="005D27B7"/>
    <w:rsid w:val="005E61A8"/>
    <w:rsid w:val="005E73D2"/>
    <w:rsid w:val="005F0223"/>
    <w:rsid w:val="005F505E"/>
    <w:rsid w:val="005F6419"/>
    <w:rsid w:val="00600673"/>
    <w:rsid w:val="0061195C"/>
    <w:rsid w:val="00614C39"/>
    <w:rsid w:val="00614D13"/>
    <w:rsid w:val="00617400"/>
    <w:rsid w:val="00622611"/>
    <w:rsid w:val="006269BF"/>
    <w:rsid w:val="00636884"/>
    <w:rsid w:val="00664950"/>
    <w:rsid w:val="00676083"/>
    <w:rsid w:val="0067711C"/>
    <w:rsid w:val="00677E9C"/>
    <w:rsid w:val="0068033D"/>
    <w:rsid w:val="006829D5"/>
    <w:rsid w:val="00683220"/>
    <w:rsid w:val="00687FA0"/>
    <w:rsid w:val="0069685A"/>
    <w:rsid w:val="006B7010"/>
    <w:rsid w:val="006C33D1"/>
    <w:rsid w:val="006C3D50"/>
    <w:rsid w:val="006E2659"/>
    <w:rsid w:val="006E2806"/>
    <w:rsid w:val="006F7ABC"/>
    <w:rsid w:val="0070263B"/>
    <w:rsid w:val="007063D8"/>
    <w:rsid w:val="007145FF"/>
    <w:rsid w:val="007349C1"/>
    <w:rsid w:val="00740974"/>
    <w:rsid w:val="00751515"/>
    <w:rsid w:val="00752EBB"/>
    <w:rsid w:val="0076128D"/>
    <w:rsid w:val="00761CD8"/>
    <w:rsid w:val="00766C0F"/>
    <w:rsid w:val="00775FFD"/>
    <w:rsid w:val="00783AE9"/>
    <w:rsid w:val="00783E99"/>
    <w:rsid w:val="00785232"/>
    <w:rsid w:val="00786AC0"/>
    <w:rsid w:val="007B5A74"/>
    <w:rsid w:val="007C1977"/>
    <w:rsid w:val="007C3ED0"/>
    <w:rsid w:val="007D002D"/>
    <w:rsid w:val="00806A76"/>
    <w:rsid w:val="00811C9D"/>
    <w:rsid w:val="00816C80"/>
    <w:rsid w:val="00833A2C"/>
    <w:rsid w:val="00836624"/>
    <w:rsid w:val="00841904"/>
    <w:rsid w:val="00841BCD"/>
    <w:rsid w:val="00841F42"/>
    <w:rsid w:val="008433D2"/>
    <w:rsid w:val="008826C1"/>
    <w:rsid w:val="00891650"/>
    <w:rsid w:val="00892DAC"/>
    <w:rsid w:val="008A7458"/>
    <w:rsid w:val="008C2D1B"/>
    <w:rsid w:val="008F1336"/>
    <w:rsid w:val="008F5503"/>
    <w:rsid w:val="009042BD"/>
    <w:rsid w:val="00915803"/>
    <w:rsid w:val="00935D34"/>
    <w:rsid w:val="009471F5"/>
    <w:rsid w:val="0095267C"/>
    <w:rsid w:val="00965703"/>
    <w:rsid w:val="00972069"/>
    <w:rsid w:val="00977E1D"/>
    <w:rsid w:val="0098491D"/>
    <w:rsid w:val="009869D1"/>
    <w:rsid w:val="00993392"/>
    <w:rsid w:val="009A063B"/>
    <w:rsid w:val="009A5BDF"/>
    <w:rsid w:val="009A5E66"/>
    <w:rsid w:val="009B5A9D"/>
    <w:rsid w:val="009C342E"/>
    <w:rsid w:val="009C35C3"/>
    <w:rsid w:val="009C62D4"/>
    <w:rsid w:val="009D04D6"/>
    <w:rsid w:val="009E47BC"/>
    <w:rsid w:val="009F6C22"/>
    <w:rsid w:val="00A03C1D"/>
    <w:rsid w:val="00A1462A"/>
    <w:rsid w:val="00A2119F"/>
    <w:rsid w:val="00A22B78"/>
    <w:rsid w:val="00A239D4"/>
    <w:rsid w:val="00A25AE5"/>
    <w:rsid w:val="00A2740E"/>
    <w:rsid w:val="00A2787F"/>
    <w:rsid w:val="00A338BB"/>
    <w:rsid w:val="00A37002"/>
    <w:rsid w:val="00A42D21"/>
    <w:rsid w:val="00A43643"/>
    <w:rsid w:val="00A54626"/>
    <w:rsid w:val="00A55581"/>
    <w:rsid w:val="00A62FF5"/>
    <w:rsid w:val="00A669AD"/>
    <w:rsid w:val="00A72603"/>
    <w:rsid w:val="00A80A96"/>
    <w:rsid w:val="00AA1B0E"/>
    <w:rsid w:val="00AA7EE8"/>
    <w:rsid w:val="00AB5CA8"/>
    <w:rsid w:val="00AC5CA7"/>
    <w:rsid w:val="00AD491C"/>
    <w:rsid w:val="00AD56B4"/>
    <w:rsid w:val="00AD6E8D"/>
    <w:rsid w:val="00AE04B6"/>
    <w:rsid w:val="00AE127A"/>
    <w:rsid w:val="00AE42C2"/>
    <w:rsid w:val="00AE56B1"/>
    <w:rsid w:val="00AE56DA"/>
    <w:rsid w:val="00AF2982"/>
    <w:rsid w:val="00AF7E45"/>
    <w:rsid w:val="00B00428"/>
    <w:rsid w:val="00B00568"/>
    <w:rsid w:val="00B005F8"/>
    <w:rsid w:val="00B07082"/>
    <w:rsid w:val="00B1076C"/>
    <w:rsid w:val="00B14D72"/>
    <w:rsid w:val="00B20BF7"/>
    <w:rsid w:val="00B20DCA"/>
    <w:rsid w:val="00B243D2"/>
    <w:rsid w:val="00B27380"/>
    <w:rsid w:val="00B41109"/>
    <w:rsid w:val="00B648D1"/>
    <w:rsid w:val="00B679CF"/>
    <w:rsid w:val="00B73862"/>
    <w:rsid w:val="00B77F71"/>
    <w:rsid w:val="00B9248C"/>
    <w:rsid w:val="00B95248"/>
    <w:rsid w:val="00BA6E48"/>
    <w:rsid w:val="00BB22CE"/>
    <w:rsid w:val="00BC2EF4"/>
    <w:rsid w:val="00BD0D62"/>
    <w:rsid w:val="00BD6E24"/>
    <w:rsid w:val="00BF2218"/>
    <w:rsid w:val="00C3152F"/>
    <w:rsid w:val="00C35E78"/>
    <w:rsid w:val="00C51340"/>
    <w:rsid w:val="00C63C37"/>
    <w:rsid w:val="00C74F51"/>
    <w:rsid w:val="00C91FEB"/>
    <w:rsid w:val="00CA1848"/>
    <w:rsid w:val="00CB47BC"/>
    <w:rsid w:val="00CB64E4"/>
    <w:rsid w:val="00CB6CFE"/>
    <w:rsid w:val="00CB6E36"/>
    <w:rsid w:val="00CD7492"/>
    <w:rsid w:val="00CE3800"/>
    <w:rsid w:val="00CE3A6B"/>
    <w:rsid w:val="00CE4CC2"/>
    <w:rsid w:val="00CF3C17"/>
    <w:rsid w:val="00CF7213"/>
    <w:rsid w:val="00D00211"/>
    <w:rsid w:val="00D01DB2"/>
    <w:rsid w:val="00D06309"/>
    <w:rsid w:val="00D07B30"/>
    <w:rsid w:val="00D1086E"/>
    <w:rsid w:val="00D1356A"/>
    <w:rsid w:val="00D17DAE"/>
    <w:rsid w:val="00D21CF3"/>
    <w:rsid w:val="00D3506D"/>
    <w:rsid w:val="00D351EA"/>
    <w:rsid w:val="00D42DC5"/>
    <w:rsid w:val="00D43403"/>
    <w:rsid w:val="00D50EAD"/>
    <w:rsid w:val="00D53DFF"/>
    <w:rsid w:val="00D55B15"/>
    <w:rsid w:val="00D62E71"/>
    <w:rsid w:val="00D72DAE"/>
    <w:rsid w:val="00D740CA"/>
    <w:rsid w:val="00D80D58"/>
    <w:rsid w:val="00D816AC"/>
    <w:rsid w:val="00D85728"/>
    <w:rsid w:val="00DA046D"/>
    <w:rsid w:val="00DC1AE0"/>
    <w:rsid w:val="00DC59EE"/>
    <w:rsid w:val="00DE48E9"/>
    <w:rsid w:val="00DE4D66"/>
    <w:rsid w:val="00DF1AC7"/>
    <w:rsid w:val="00DF2997"/>
    <w:rsid w:val="00DF5A0D"/>
    <w:rsid w:val="00E04730"/>
    <w:rsid w:val="00E07BC2"/>
    <w:rsid w:val="00E2154B"/>
    <w:rsid w:val="00E37E63"/>
    <w:rsid w:val="00E4690A"/>
    <w:rsid w:val="00E505E7"/>
    <w:rsid w:val="00E50D03"/>
    <w:rsid w:val="00E56B8D"/>
    <w:rsid w:val="00E632C3"/>
    <w:rsid w:val="00E81CCD"/>
    <w:rsid w:val="00E911CA"/>
    <w:rsid w:val="00E9212F"/>
    <w:rsid w:val="00EA3536"/>
    <w:rsid w:val="00EC4444"/>
    <w:rsid w:val="00EC7BC3"/>
    <w:rsid w:val="00ED7600"/>
    <w:rsid w:val="00EE0885"/>
    <w:rsid w:val="00EE72B2"/>
    <w:rsid w:val="00F1362C"/>
    <w:rsid w:val="00F21276"/>
    <w:rsid w:val="00F30EC5"/>
    <w:rsid w:val="00F32000"/>
    <w:rsid w:val="00F3433E"/>
    <w:rsid w:val="00F376C8"/>
    <w:rsid w:val="00F5327E"/>
    <w:rsid w:val="00F55601"/>
    <w:rsid w:val="00F824F5"/>
    <w:rsid w:val="00F84F26"/>
    <w:rsid w:val="00F87FB2"/>
    <w:rsid w:val="00F9064E"/>
    <w:rsid w:val="00FA1E55"/>
    <w:rsid w:val="00FA2DD7"/>
    <w:rsid w:val="00FA7964"/>
    <w:rsid w:val="00FB0309"/>
    <w:rsid w:val="00FB2373"/>
    <w:rsid w:val="00FC29B9"/>
    <w:rsid w:val="00FC2C91"/>
    <w:rsid w:val="00FC6AE6"/>
    <w:rsid w:val="00FC6FD3"/>
    <w:rsid w:val="00FD15F4"/>
    <w:rsid w:val="00FD27D5"/>
    <w:rsid w:val="00FD62B3"/>
    <w:rsid w:val="00FE1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36504"/>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7BC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2B5D2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C513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1340"/>
    <w:rPr>
      <w:rFonts w:ascii="Segoe UI" w:hAnsi="Segoe UI" w:cs="Segoe UI"/>
      <w:sz w:val="18"/>
      <w:szCs w:val="18"/>
    </w:rPr>
  </w:style>
  <w:style w:type="character" w:customStyle="1" w:styleId="Heading3Char">
    <w:name w:val="Heading 3 Char"/>
    <w:basedOn w:val="DefaultParagraphFont"/>
    <w:link w:val="Heading3"/>
    <w:uiPriority w:val="9"/>
    <w:semiHidden/>
    <w:rsid w:val="002B5D2B"/>
    <w:rPr>
      <w:rFonts w:asciiTheme="majorHAnsi" w:eastAsiaTheme="majorEastAsia" w:hAnsiTheme="majorHAnsi" w:cstheme="majorBidi"/>
      <w:color w:val="1F3763" w:themeColor="accent1" w:themeShade="7F"/>
      <w:sz w:val="24"/>
      <w:szCs w:val="24"/>
    </w:rPr>
  </w:style>
  <w:style w:type="paragraph" w:customStyle="1" w:styleId="B1">
    <w:name w:val="B1"/>
    <w:basedOn w:val="List"/>
    <w:link w:val="B1Char"/>
    <w:rsid w:val="002B5D2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2B5D2B"/>
    <w:rPr>
      <w:rFonts w:ascii="Times New Roman" w:eastAsia="Times New Roman" w:hAnsi="Times New Roman" w:cs="Times New Roman"/>
      <w:sz w:val="20"/>
      <w:szCs w:val="20"/>
      <w:lang w:val="en-GB" w:eastAsia="ko-KR"/>
    </w:rPr>
  </w:style>
  <w:style w:type="paragraph" w:customStyle="1" w:styleId="B2">
    <w:name w:val="B2"/>
    <w:basedOn w:val="List2"/>
    <w:link w:val="B2Char"/>
    <w:rsid w:val="002B5D2B"/>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ko-KR"/>
    </w:rPr>
  </w:style>
  <w:style w:type="character" w:customStyle="1" w:styleId="B2Char">
    <w:name w:val="B2 Char"/>
    <w:basedOn w:val="DefaultParagraphFont"/>
    <w:link w:val="B2"/>
    <w:rsid w:val="002B5D2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2B5D2B"/>
    <w:pPr>
      <w:ind w:left="283" w:hanging="283"/>
      <w:contextualSpacing/>
    </w:pPr>
  </w:style>
  <w:style w:type="paragraph" w:styleId="List2">
    <w:name w:val="List 2"/>
    <w:basedOn w:val="Normal"/>
    <w:uiPriority w:val="99"/>
    <w:semiHidden/>
    <w:unhideWhenUsed/>
    <w:rsid w:val="002B5D2B"/>
    <w:pPr>
      <w:ind w:left="566" w:hanging="283"/>
      <w:contextualSpacing/>
    </w:pPr>
  </w:style>
  <w:style w:type="character" w:styleId="CommentReference">
    <w:name w:val="annotation reference"/>
    <w:basedOn w:val="DefaultParagraphFont"/>
    <w:uiPriority w:val="99"/>
    <w:semiHidden/>
    <w:unhideWhenUsed/>
    <w:rsid w:val="00A03C1D"/>
    <w:rPr>
      <w:sz w:val="16"/>
      <w:szCs w:val="16"/>
    </w:rPr>
  </w:style>
  <w:style w:type="paragraph" w:styleId="CommentText">
    <w:name w:val="annotation text"/>
    <w:basedOn w:val="Normal"/>
    <w:link w:val="CommentTextChar"/>
    <w:uiPriority w:val="99"/>
    <w:semiHidden/>
    <w:unhideWhenUsed/>
    <w:rsid w:val="00A03C1D"/>
    <w:pPr>
      <w:spacing w:line="240" w:lineRule="auto"/>
    </w:pPr>
    <w:rPr>
      <w:szCs w:val="20"/>
    </w:rPr>
  </w:style>
  <w:style w:type="character" w:customStyle="1" w:styleId="CommentTextChar">
    <w:name w:val="Comment Text Char"/>
    <w:basedOn w:val="DefaultParagraphFont"/>
    <w:link w:val="CommentText"/>
    <w:uiPriority w:val="99"/>
    <w:semiHidden/>
    <w:rsid w:val="00A03C1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03C1D"/>
    <w:rPr>
      <w:b/>
      <w:bCs/>
    </w:rPr>
  </w:style>
  <w:style w:type="character" w:customStyle="1" w:styleId="CommentSubjectChar">
    <w:name w:val="Comment Subject Char"/>
    <w:basedOn w:val="CommentTextChar"/>
    <w:link w:val="CommentSubject"/>
    <w:uiPriority w:val="99"/>
    <w:semiHidden/>
    <w:rsid w:val="00A03C1D"/>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14292">
      <w:bodyDiv w:val="1"/>
      <w:marLeft w:val="0"/>
      <w:marRight w:val="0"/>
      <w:marTop w:val="0"/>
      <w:marBottom w:val="0"/>
      <w:divBdr>
        <w:top w:val="none" w:sz="0" w:space="0" w:color="auto"/>
        <w:left w:val="none" w:sz="0" w:space="0" w:color="auto"/>
        <w:bottom w:val="none" w:sz="0" w:space="0" w:color="auto"/>
        <w:right w:val="none" w:sz="0" w:space="0" w:color="auto"/>
      </w:divBdr>
      <w:divsChild>
        <w:div w:id="394620364">
          <w:marLeft w:val="360"/>
          <w:marRight w:val="0"/>
          <w:marTop w:val="200"/>
          <w:marBottom w:val="0"/>
          <w:divBdr>
            <w:top w:val="none" w:sz="0" w:space="0" w:color="auto"/>
            <w:left w:val="none" w:sz="0" w:space="0" w:color="auto"/>
            <w:bottom w:val="none" w:sz="0" w:space="0" w:color="auto"/>
            <w:right w:val="none" w:sz="0" w:space="0" w:color="auto"/>
          </w:divBdr>
        </w:div>
        <w:div w:id="328794895">
          <w:marLeft w:val="1080"/>
          <w:marRight w:val="0"/>
          <w:marTop w:val="100"/>
          <w:marBottom w:val="0"/>
          <w:divBdr>
            <w:top w:val="none" w:sz="0" w:space="0" w:color="auto"/>
            <w:left w:val="none" w:sz="0" w:space="0" w:color="auto"/>
            <w:bottom w:val="none" w:sz="0" w:space="0" w:color="auto"/>
            <w:right w:val="none" w:sz="0" w:space="0" w:color="auto"/>
          </w:divBdr>
        </w:div>
        <w:div w:id="491606895">
          <w:marLeft w:val="360"/>
          <w:marRight w:val="0"/>
          <w:marTop w:val="200"/>
          <w:marBottom w:val="0"/>
          <w:divBdr>
            <w:top w:val="none" w:sz="0" w:space="0" w:color="auto"/>
            <w:left w:val="none" w:sz="0" w:space="0" w:color="auto"/>
            <w:bottom w:val="none" w:sz="0" w:space="0" w:color="auto"/>
            <w:right w:val="none" w:sz="0" w:space="0" w:color="auto"/>
          </w:divBdr>
        </w:div>
        <w:div w:id="407919332">
          <w:marLeft w:val="1080"/>
          <w:marRight w:val="0"/>
          <w:marTop w:val="100"/>
          <w:marBottom w:val="0"/>
          <w:divBdr>
            <w:top w:val="none" w:sz="0" w:space="0" w:color="auto"/>
            <w:left w:val="none" w:sz="0" w:space="0" w:color="auto"/>
            <w:bottom w:val="none" w:sz="0" w:space="0" w:color="auto"/>
            <w:right w:val="none" w:sz="0" w:space="0" w:color="auto"/>
          </w:divBdr>
        </w:div>
        <w:div w:id="975645031">
          <w:marLeft w:val="1800"/>
          <w:marRight w:val="0"/>
          <w:marTop w:val="100"/>
          <w:marBottom w:val="0"/>
          <w:divBdr>
            <w:top w:val="none" w:sz="0" w:space="0" w:color="auto"/>
            <w:left w:val="none" w:sz="0" w:space="0" w:color="auto"/>
            <w:bottom w:val="none" w:sz="0" w:space="0" w:color="auto"/>
            <w:right w:val="none" w:sz="0" w:space="0" w:color="auto"/>
          </w:divBdr>
        </w:div>
        <w:div w:id="526211813">
          <w:marLeft w:val="1800"/>
          <w:marRight w:val="0"/>
          <w:marTop w:val="100"/>
          <w:marBottom w:val="0"/>
          <w:divBdr>
            <w:top w:val="none" w:sz="0" w:space="0" w:color="auto"/>
            <w:left w:val="none" w:sz="0" w:space="0" w:color="auto"/>
            <w:bottom w:val="none" w:sz="0" w:space="0" w:color="auto"/>
            <w:right w:val="none" w:sz="0" w:space="0" w:color="auto"/>
          </w:divBdr>
        </w:div>
        <w:div w:id="358703822">
          <w:marLeft w:val="1800"/>
          <w:marRight w:val="0"/>
          <w:marTop w:val="100"/>
          <w:marBottom w:val="0"/>
          <w:divBdr>
            <w:top w:val="none" w:sz="0" w:space="0" w:color="auto"/>
            <w:left w:val="none" w:sz="0" w:space="0" w:color="auto"/>
            <w:bottom w:val="none" w:sz="0" w:space="0" w:color="auto"/>
            <w:right w:val="none" w:sz="0" w:space="0" w:color="auto"/>
          </w:divBdr>
        </w:div>
        <w:div w:id="1834029349">
          <w:marLeft w:val="2520"/>
          <w:marRight w:val="0"/>
          <w:marTop w:val="100"/>
          <w:marBottom w:val="0"/>
          <w:divBdr>
            <w:top w:val="none" w:sz="0" w:space="0" w:color="auto"/>
            <w:left w:val="none" w:sz="0" w:space="0" w:color="auto"/>
            <w:bottom w:val="none" w:sz="0" w:space="0" w:color="auto"/>
            <w:right w:val="none" w:sz="0" w:space="0" w:color="auto"/>
          </w:divBdr>
        </w:div>
        <w:div w:id="437023609">
          <w:marLeft w:val="2520"/>
          <w:marRight w:val="0"/>
          <w:marTop w:val="100"/>
          <w:marBottom w:val="0"/>
          <w:divBdr>
            <w:top w:val="none" w:sz="0" w:space="0" w:color="auto"/>
            <w:left w:val="none" w:sz="0" w:space="0" w:color="auto"/>
            <w:bottom w:val="none" w:sz="0" w:space="0" w:color="auto"/>
            <w:right w:val="none" w:sz="0" w:space="0" w:color="auto"/>
          </w:divBdr>
        </w:div>
        <w:div w:id="2024479917">
          <w:marLeft w:val="1800"/>
          <w:marRight w:val="0"/>
          <w:marTop w:val="100"/>
          <w:marBottom w:val="0"/>
          <w:divBdr>
            <w:top w:val="none" w:sz="0" w:space="0" w:color="auto"/>
            <w:left w:val="none" w:sz="0" w:space="0" w:color="auto"/>
            <w:bottom w:val="none" w:sz="0" w:space="0" w:color="auto"/>
            <w:right w:val="none" w:sz="0" w:space="0" w:color="auto"/>
          </w:divBdr>
        </w:div>
        <w:div w:id="1109543609">
          <w:marLeft w:val="2520"/>
          <w:marRight w:val="0"/>
          <w:marTop w:val="100"/>
          <w:marBottom w:val="0"/>
          <w:divBdr>
            <w:top w:val="none" w:sz="0" w:space="0" w:color="auto"/>
            <w:left w:val="none" w:sz="0" w:space="0" w:color="auto"/>
            <w:bottom w:val="none" w:sz="0" w:space="0" w:color="auto"/>
            <w:right w:val="none" w:sz="0" w:space="0" w:color="auto"/>
          </w:divBdr>
        </w:div>
        <w:div w:id="745029978">
          <w:marLeft w:val="2520"/>
          <w:marRight w:val="0"/>
          <w:marTop w:val="100"/>
          <w:marBottom w:val="0"/>
          <w:divBdr>
            <w:top w:val="none" w:sz="0" w:space="0" w:color="auto"/>
            <w:left w:val="none" w:sz="0" w:space="0" w:color="auto"/>
            <w:bottom w:val="none" w:sz="0" w:space="0" w:color="auto"/>
            <w:right w:val="none" w:sz="0" w:space="0" w:color="auto"/>
          </w:divBdr>
        </w:div>
        <w:div w:id="1752003373">
          <w:marLeft w:val="2520"/>
          <w:marRight w:val="0"/>
          <w:marTop w:val="100"/>
          <w:marBottom w:val="0"/>
          <w:divBdr>
            <w:top w:val="none" w:sz="0" w:space="0" w:color="auto"/>
            <w:left w:val="none" w:sz="0" w:space="0" w:color="auto"/>
            <w:bottom w:val="none" w:sz="0" w:space="0" w:color="auto"/>
            <w:right w:val="none" w:sz="0" w:space="0" w:color="auto"/>
          </w:divBdr>
        </w:div>
        <w:div w:id="854655245">
          <w:marLeft w:val="360"/>
          <w:marRight w:val="0"/>
          <w:marTop w:val="200"/>
          <w:marBottom w:val="0"/>
          <w:divBdr>
            <w:top w:val="none" w:sz="0" w:space="0" w:color="auto"/>
            <w:left w:val="none" w:sz="0" w:space="0" w:color="auto"/>
            <w:bottom w:val="none" w:sz="0" w:space="0" w:color="auto"/>
            <w:right w:val="none" w:sz="0" w:space="0" w:color="auto"/>
          </w:divBdr>
        </w:div>
        <w:div w:id="18090646">
          <w:marLeft w:val="1080"/>
          <w:marRight w:val="0"/>
          <w:marTop w:val="100"/>
          <w:marBottom w:val="0"/>
          <w:divBdr>
            <w:top w:val="none" w:sz="0" w:space="0" w:color="auto"/>
            <w:left w:val="none" w:sz="0" w:space="0" w:color="auto"/>
            <w:bottom w:val="none" w:sz="0" w:space="0" w:color="auto"/>
            <w:right w:val="none" w:sz="0" w:space="0" w:color="auto"/>
          </w:divBdr>
        </w:div>
        <w:div w:id="369108661">
          <w:marLeft w:val="1800"/>
          <w:marRight w:val="0"/>
          <w:marTop w:val="100"/>
          <w:marBottom w:val="0"/>
          <w:divBdr>
            <w:top w:val="none" w:sz="0" w:space="0" w:color="auto"/>
            <w:left w:val="none" w:sz="0" w:space="0" w:color="auto"/>
            <w:bottom w:val="none" w:sz="0" w:space="0" w:color="auto"/>
            <w:right w:val="none" w:sz="0" w:space="0" w:color="auto"/>
          </w:divBdr>
        </w:div>
        <w:div w:id="1785927589">
          <w:marLeft w:val="1800"/>
          <w:marRight w:val="0"/>
          <w:marTop w:val="100"/>
          <w:marBottom w:val="0"/>
          <w:divBdr>
            <w:top w:val="none" w:sz="0" w:space="0" w:color="auto"/>
            <w:left w:val="none" w:sz="0" w:space="0" w:color="auto"/>
            <w:bottom w:val="none" w:sz="0" w:space="0" w:color="auto"/>
            <w:right w:val="none" w:sz="0" w:space="0" w:color="auto"/>
          </w:divBdr>
        </w:div>
        <w:div w:id="947158341">
          <w:marLeft w:val="1800"/>
          <w:marRight w:val="0"/>
          <w:marTop w:val="100"/>
          <w:marBottom w:val="0"/>
          <w:divBdr>
            <w:top w:val="none" w:sz="0" w:space="0" w:color="auto"/>
            <w:left w:val="none" w:sz="0" w:space="0" w:color="auto"/>
            <w:bottom w:val="none" w:sz="0" w:space="0" w:color="auto"/>
            <w:right w:val="none" w:sz="0" w:space="0" w:color="auto"/>
          </w:divBdr>
        </w:div>
        <w:div w:id="143931807">
          <w:marLeft w:val="2520"/>
          <w:marRight w:val="0"/>
          <w:marTop w:val="100"/>
          <w:marBottom w:val="0"/>
          <w:divBdr>
            <w:top w:val="none" w:sz="0" w:space="0" w:color="auto"/>
            <w:left w:val="none" w:sz="0" w:space="0" w:color="auto"/>
            <w:bottom w:val="none" w:sz="0" w:space="0" w:color="auto"/>
            <w:right w:val="none" w:sz="0" w:space="0" w:color="auto"/>
          </w:divBdr>
        </w:div>
        <w:div w:id="1583030887">
          <w:marLeft w:val="2520"/>
          <w:marRight w:val="0"/>
          <w:marTop w:val="100"/>
          <w:marBottom w:val="0"/>
          <w:divBdr>
            <w:top w:val="none" w:sz="0" w:space="0" w:color="auto"/>
            <w:left w:val="none" w:sz="0" w:space="0" w:color="auto"/>
            <w:bottom w:val="none" w:sz="0" w:space="0" w:color="auto"/>
            <w:right w:val="none" w:sz="0" w:space="0" w:color="auto"/>
          </w:divBdr>
        </w:div>
        <w:div w:id="1721514711">
          <w:marLeft w:val="1800"/>
          <w:marRight w:val="0"/>
          <w:marTop w:val="100"/>
          <w:marBottom w:val="0"/>
          <w:divBdr>
            <w:top w:val="none" w:sz="0" w:space="0" w:color="auto"/>
            <w:left w:val="none" w:sz="0" w:space="0" w:color="auto"/>
            <w:bottom w:val="none" w:sz="0" w:space="0" w:color="auto"/>
            <w:right w:val="none" w:sz="0" w:space="0" w:color="auto"/>
          </w:divBdr>
        </w:div>
        <w:div w:id="1540243634">
          <w:marLeft w:val="2520"/>
          <w:marRight w:val="0"/>
          <w:marTop w:val="100"/>
          <w:marBottom w:val="0"/>
          <w:divBdr>
            <w:top w:val="none" w:sz="0" w:space="0" w:color="auto"/>
            <w:left w:val="none" w:sz="0" w:space="0" w:color="auto"/>
            <w:bottom w:val="none" w:sz="0" w:space="0" w:color="auto"/>
            <w:right w:val="none" w:sz="0" w:space="0" w:color="auto"/>
          </w:divBdr>
        </w:div>
        <w:div w:id="195121845">
          <w:marLeft w:val="2520"/>
          <w:marRight w:val="0"/>
          <w:marTop w:val="100"/>
          <w:marBottom w:val="0"/>
          <w:divBdr>
            <w:top w:val="none" w:sz="0" w:space="0" w:color="auto"/>
            <w:left w:val="none" w:sz="0" w:space="0" w:color="auto"/>
            <w:bottom w:val="none" w:sz="0" w:space="0" w:color="auto"/>
            <w:right w:val="none" w:sz="0" w:space="0" w:color="auto"/>
          </w:divBdr>
        </w:div>
      </w:divsChild>
    </w:div>
    <w:div w:id="226383721">
      <w:bodyDiv w:val="1"/>
      <w:marLeft w:val="0"/>
      <w:marRight w:val="0"/>
      <w:marTop w:val="0"/>
      <w:marBottom w:val="0"/>
      <w:divBdr>
        <w:top w:val="none" w:sz="0" w:space="0" w:color="auto"/>
        <w:left w:val="none" w:sz="0" w:space="0" w:color="auto"/>
        <w:bottom w:val="none" w:sz="0" w:space="0" w:color="auto"/>
        <w:right w:val="none" w:sz="0" w:space="0" w:color="auto"/>
      </w:divBdr>
    </w:div>
    <w:div w:id="314383472">
      <w:bodyDiv w:val="1"/>
      <w:marLeft w:val="0"/>
      <w:marRight w:val="0"/>
      <w:marTop w:val="0"/>
      <w:marBottom w:val="0"/>
      <w:divBdr>
        <w:top w:val="none" w:sz="0" w:space="0" w:color="auto"/>
        <w:left w:val="none" w:sz="0" w:space="0" w:color="auto"/>
        <w:bottom w:val="none" w:sz="0" w:space="0" w:color="auto"/>
        <w:right w:val="none" w:sz="0" w:space="0" w:color="auto"/>
      </w:divBdr>
    </w:div>
    <w:div w:id="464470181">
      <w:bodyDiv w:val="1"/>
      <w:marLeft w:val="0"/>
      <w:marRight w:val="0"/>
      <w:marTop w:val="0"/>
      <w:marBottom w:val="0"/>
      <w:divBdr>
        <w:top w:val="none" w:sz="0" w:space="0" w:color="auto"/>
        <w:left w:val="none" w:sz="0" w:space="0" w:color="auto"/>
        <w:bottom w:val="none" w:sz="0" w:space="0" w:color="auto"/>
        <w:right w:val="none" w:sz="0" w:space="0" w:color="auto"/>
      </w:divBdr>
    </w:div>
    <w:div w:id="571086483">
      <w:bodyDiv w:val="1"/>
      <w:marLeft w:val="0"/>
      <w:marRight w:val="0"/>
      <w:marTop w:val="0"/>
      <w:marBottom w:val="0"/>
      <w:divBdr>
        <w:top w:val="none" w:sz="0" w:space="0" w:color="auto"/>
        <w:left w:val="none" w:sz="0" w:space="0" w:color="auto"/>
        <w:bottom w:val="none" w:sz="0" w:space="0" w:color="auto"/>
        <w:right w:val="none" w:sz="0" w:space="0" w:color="auto"/>
      </w:divBdr>
      <w:divsChild>
        <w:div w:id="1167284534">
          <w:marLeft w:val="360"/>
          <w:marRight w:val="0"/>
          <w:marTop w:val="200"/>
          <w:marBottom w:val="0"/>
          <w:divBdr>
            <w:top w:val="none" w:sz="0" w:space="0" w:color="auto"/>
            <w:left w:val="none" w:sz="0" w:space="0" w:color="auto"/>
            <w:bottom w:val="none" w:sz="0" w:space="0" w:color="auto"/>
            <w:right w:val="none" w:sz="0" w:space="0" w:color="auto"/>
          </w:divBdr>
        </w:div>
        <w:div w:id="1175848839">
          <w:marLeft w:val="1080"/>
          <w:marRight w:val="0"/>
          <w:marTop w:val="100"/>
          <w:marBottom w:val="0"/>
          <w:divBdr>
            <w:top w:val="none" w:sz="0" w:space="0" w:color="auto"/>
            <w:left w:val="none" w:sz="0" w:space="0" w:color="auto"/>
            <w:bottom w:val="none" w:sz="0" w:space="0" w:color="auto"/>
            <w:right w:val="none" w:sz="0" w:space="0" w:color="auto"/>
          </w:divBdr>
        </w:div>
        <w:div w:id="454831353">
          <w:marLeft w:val="1800"/>
          <w:marRight w:val="0"/>
          <w:marTop w:val="100"/>
          <w:marBottom w:val="0"/>
          <w:divBdr>
            <w:top w:val="none" w:sz="0" w:space="0" w:color="auto"/>
            <w:left w:val="none" w:sz="0" w:space="0" w:color="auto"/>
            <w:bottom w:val="none" w:sz="0" w:space="0" w:color="auto"/>
            <w:right w:val="none" w:sz="0" w:space="0" w:color="auto"/>
          </w:divBdr>
        </w:div>
        <w:div w:id="1985772695">
          <w:marLeft w:val="1800"/>
          <w:marRight w:val="0"/>
          <w:marTop w:val="100"/>
          <w:marBottom w:val="0"/>
          <w:divBdr>
            <w:top w:val="none" w:sz="0" w:space="0" w:color="auto"/>
            <w:left w:val="none" w:sz="0" w:space="0" w:color="auto"/>
            <w:bottom w:val="none" w:sz="0" w:space="0" w:color="auto"/>
            <w:right w:val="none" w:sz="0" w:space="0" w:color="auto"/>
          </w:divBdr>
        </w:div>
        <w:div w:id="723606155">
          <w:marLeft w:val="1800"/>
          <w:marRight w:val="0"/>
          <w:marTop w:val="100"/>
          <w:marBottom w:val="0"/>
          <w:divBdr>
            <w:top w:val="none" w:sz="0" w:space="0" w:color="auto"/>
            <w:left w:val="none" w:sz="0" w:space="0" w:color="auto"/>
            <w:bottom w:val="none" w:sz="0" w:space="0" w:color="auto"/>
            <w:right w:val="none" w:sz="0" w:space="0" w:color="auto"/>
          </w:divBdr>
        </w:div>
        <w:div w:id="2079667525">
          <w:marLeft w:val="1080"/>
          <w:marRight w:val="0"/>
          <w:marTop w:val="100"/>
          <w:marBottom w:val="0"/>
          <w:divBdr>
            <w:top w:val="none" w:sz="0" w:space="0" w:color="auto"/>
            <w:left w:val="none" w:sz="0" w:space="0" w:color="auto"/>
            <w:bottom w:val="none" w:sz="0" w:space="0" w:color="auto"/>
            <w:right w:val="none" w:sz="0" w:space="0" w:color="auto"/>
          </w:divBdr>
        </w:div>
        <w:div w:id="1471749169">
          <w:marLeft w:val="360"/>
          <w:marRight w:val="0"/>
          <w:marTop w:val="200"/>
          <w:marBottom w:val="0"/>
          <w:divBdr>
            <w:top w:val="none" w:sz="0" w:space="0" w:color="auto"/>
            <w:left w:val="none" w:sz="0" w:space="0" w:color="auto"/>
            <w:bottom w:val="none" w:sz="0" w:space="0" w:color="auto"/>
            <w:right w:val="none" w:sz="0" w:space="0" w:color="auto"/>
          </w:divBdr>
        </w:div>
        <w:div w:id="2119906382">
          <w:marLeft w:val="360"/>
          <w:marRight w:val="0"/>
          <w:marTop w:val="200"/>
          <w:marBottom w:val="0"/>
          <w:divBdr>
            <w:top w:val="none" w:sz="0" w:space="0" w:color="auto"/>
            <w:left w:val="none" w:sz="0" w:space="0" w:color="auto"/>
            <w:bottom w:val="none" w:sz="0" w:space="0" w:color="auto"/>
            <w:right w:val="none" w:sz="0" w:space="0" w:color="auto"/>
          </w:divBdr>
        </w:div>
      </w:divsChild>
    </w:div>
    <w:div w:id="674766704">
      <w:bodyDiv w:val="1"/>
      <w:marLeft w:val="0"/>
      <w:marRight w:val="0"/>
      <w:marTop w:val="0"/>
      <w:marBottom w:val="0"/>
      <w:divBdr>
        <w:top w:val="none" w:sz="0" w:space="0" w:color="auto"/>
        <w:left w:val="none" w:sz="0" w:space="0" w:color="auto"/>
        <w:bottom w:val="none" w:sz="0" w:space="0" w:color="auto"/>
        <w:right w:val="none" w:sz="0" w:space="0" w:color="auto"/>
      </w:divBdr>
      <w:divsChild>
        <w:div w:id="1126966449">
          <w:marLeft w:val="360"/>
          <w:marRight w:val="0"/>
          <w:marTop w:val="200"/>
          <w:marBottom w:val="0"/>
          <w:divBdr>
            <w:top w:val="none" w:sz="0" w:space="0" w:color="auto"/>
            <w:left w:val="none" w:sz="0" w:space="0" w:color="auto"/>
            <w:bottom w:val="none" w:sz="0" w:space="0" w:color="auto"/>
            <w:right w:val="none" w:sz="0" w:space="0" w:color="auto"/>
          </w:divBdr>
        </w:div>
        <w:div w:id="1082527543">
          <w:marLeft w:val="1080"/>
          <w:marRight w:val="0"/>
          <w:marTop w:val="100"/>
          <w:marBottom w:val="0"/>
          <w:divBdr>
            <w:top w:val="none" w:sz="0" w:space="0" w:color="auto"/>
            <w:left w:val="none" w:sz="0" w:space="0" w:color="auto"/>
            <w:bottom w:val="none" w:sz="0" w:space="0" w:color="auto"/>
            <w:right w:val="none" w:sz="0" w:space="0" w:color="auto"/>
          </w:divBdr>
        </w:div>
        <w:div w:id="1950426180">
          <w:marLeft w:val="1800"/>
          <w:marRight w:val="0"/>
          <w:marTop w:val="100"/>
          <w:marBottom w:val="0"/>
          <w:divBdr>
            <w:top w:val="none" w:sz="0" w:space="0" w:color="auto"/>
            <w:left w:val="none" w:sz="0" w:space="0" w:color="auto"/>
            <w:bottom w:val="none" w:sz="0" w:space="0" w:color="auto"/>
            <w:right w:val="none" w:sz="0" w:space="0" w:color="auto"/>
          </w:divBdr>
        </w:div>
        <w:div w:id="1774665026">
          <w:marLeft w:val="1800"/>
          <w:marRight w:val="0"/>
          <w:marTop w:val="100"/>
          <w:marBottom w:val="0"/>
          <w:divBdr>
            <w:top w:val="none" w:sz="0" w:space="0" w:color="auto"/>
            <w:left w:val="none" w:sz="0" w:space="0" w:color="auto"/>
            <w:bottom w:val="none" w:sz="0" w:space="0" w:color="auto"/>
            <w:right w:val="none" w:sz="0" w:space="0" w:color="auto"/>
          </w:divBdr>
        </w:div>
        <w:div w:id="749011573">
          <w:marLeft w:val="1800"/>
          <w:marRight w:val="0"/>
          <w:marTop w:val="100"/>
          <w:marBottom w:val="0"/>
          <w:divBdr>
            <w:top w:val="none" w:sz="0" w:space="0" w:color="auto"/>
            <w:left w:val="none" w:sz="0" w:space="0" w:color="auto"/>
            <w:bottom w:val="none" w:sz="0" w:space="0" w:color="auto"/>
            <w:right w:val="none" w:sz="0" w:space="0" w:color="auto"/>
          </w:divBdr>
        </w:div>
        <w:div w:id="179123059">
          <w:marLeft w:val="1080"/>
          <w:marRight w:val="0"/>
          <w:marTop w:val="100"/>
          <w:marBottom w:val="0"/>
          <w:divBdr>
            <w:top w:val="none" w:sz="0" w:space="0" w:color="auto"/>
            <w:left w:val="none" w:sz="0" w:space="0" w:color="auto"/>
            <w:bottom w:val="none" w:sz="0" w:space="0" w:color="auto"/>
            <w:right w:val="none" w:sz="0" w:space="0" w:color="auto"/>
          </w:divBdr>
        </w:div>
        <w:div w:id="2111579352">
          <w:marLeft w:val="360"/>
          <w:marRight w:val="0"/>
          <w:marTop w:val="200"/>
          <w:marBottom w:val="0"/>
          <w:divBdr>
            <w:top w:val="none" w:sz="0" w:space="0" w:color="auto"/>
            <w:left w:val="none" w:sz="0" w:space="0" w:color="auto"/>
            <w:bottom w:val="none" w:sz="0" w:space="0" w:color="auto"/>
            <w:right w:val="none" w:sz="0" w:space="0" w:color="auto"/>
          </w:divBdr>
        </w:div>
        <w:div w:id="907961956">
          <w:marLeft w:val="360"/>
          <w:marRight w:val="0"/>
          <w:marTop w:val="200"/>
          <w:marBottom w:val="0"/>
          <w:divBdr>
            <w:top w:val="none" w:sz="0" w:space="0" w:color="auto"/>
            <w:left w:val="none" w:sz="0" w:space="0" w:color="auto"/>
            <w:bottom w:val="none" w:sz="0" w:space="0" w:color="auto"/>
            <w:right w:val="none" w:sz="0" w:space="0" w:color="auto"/>
          </w:divBdr>
        </w:div>
      </w:divsChild>
    </w:div>
    <w:div w:id="1097336413">
      <w:bodyDiv w:val="1"/>
      <w:marLeft w:val="0"/>
      <w:marRight w:val="0"/>
      <w:marTop w:val="0"/>
      <w:marBottom w:val="0"/>
      <w:divBdr>
        <w:top w:val="none" w:sz="0" w:space="0" w:color="auto"/>
        <w:left w:val="none" w:sz="0" w:space="0" w:color="auto"/>
        <w:bottom w:val="none" w:sz="0" w:space="0" w:color="auto"/>
        <w:right w:val="none" w:sz="0" w:space="0" w:color="auto"/>
      </w:divBdr>
    </w:div>
    <w:div w:id="166870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3659E-6FF6-457D-BDF7-6AB9A4846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3</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61</cp:revision>
  <dcterms:created xsi:type="dcterms:W3CDTF">2018-08-10T09:35:00Z</dcterms:created>
  <dcterms:modified xsi:type="dcterms:W3CDTF">2018-11-02T21:50:00Z</dcterms:modified>
</cp:coreProperties>
</file>